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7111" w:rsidR="00CE7111" w:rsidP="00CE7111" w:rsidRDefault="00CE7111" w14:paraId="58174E61" w14:textId="77777777">
      <w:pPr>
        <w:pStyle w:val="Heading2"/>
      </w:pPr>
      <w:r w:rsidRPr="00CE7111">
        <w:t>Nutrition Education in Medical Schools: Key Messages for Academy Members</w:t>
      </w:r>
    </w:p>
    <w:p w:rsidRPr="00CE7111" w:rsidR="00CE7111" w:rsidP="00CE7111" w:rsidRDefault="00CE7111" w14:paraId="1126BEA0" w14:textId="77777777">
      <w:pPr>
        <w:rPr>
          <w:b/>
          <w:bCs/>
        </w:rPr>
      </w:pPr>
      <w:r w:rsidRPr="00CE7111">
        <w:rPr>
          <w:b/>
          <w:bCs/>
        </w:rPr>
        <w:t>Why This Matters</w:t>
      </w:r>
    </w:p>
    <w:p w:rsidRPr="00CE7111" w:rsidR="00CE7111" w:rsidP="00CE7111" w:rsidRDefault="00CE7111" w14:paraId="166BBC5F" w14:textId="43635EE6">
      <w:r w:rsidRPr="00CE7111">
        <w:t xml:space="preserve">Nutrition plays a critical role in preventing and managing chronic and acute diseases, yet many physicians receive limited nutrition education during training. As national momentum grows around the role nutrition plays in improving health outcomes, strengthening nutrition education in medical schools has emerged as an important opportunity to improve patient care and elevate the role of registered dietitian nutritionists across healthcare. </w:t>
      </w:r>
    </w:p>
    <w:p w:rsidRPr="00CE7111" w:rsidR="00CE7111" w:rsidP="00CE7111" w:rsidRDefault="00CE7111" w14:paraId="3E263D7D" w14:textId="75FA2F5D">
      <w:r w:rsidRPr="00CE7111">
        <w:t>This work is part of the Academy of Nutrition and Dietetics’ broader effort to ensure physicians and other healthcare providers better understand the value of RDNs, include RDNs in care teams</w:t>
      </w:r>
      <w:r w:rsidR="00954EC1">
        <w:t>,</w:t>
      </w:r>
      <w:r w:rsidRPr="00CE7111">
        <w:t xml:space="preserve"> and refer patients for nutrition care when appropriate.</w:t>
      </w:r>
    </w:p>
    <w:p w:rsidRPr="00CE7111" w:rsidR="00CE7111" w:rsidP="00CE7111" w:rsidRDefault="00CE7111" w14:paraId="5C11A7FE" w14:textId="77777777">
      <w:pPr>
        <w:rPr>
          <w:b/>
          <w:bCs/>
        </w:rPr>
      </w:pPr>
      <w:r w:rsidRPr="00CE7111">
        <w:rPr>
          <w:b/>
          <w:bCs/>
        </w:rPr>
        <w:t>Core Message</w:t>
      </w:r>
    </w:p>
    <w:p w:rsidRPr="00CE7111" w:rsidR="00CE7111" w:rsidP="00CE7111" w:rsidRDefault="00CE7111" w14:paraId="2C66B555" w14:textId="1AEC92C8">
      <w:r w:rsidRPr="00CE7111">
        <w:t>The Academy and ACEND are helping medical schools move from commitment to implementation by connecting them with nutrition and dietetics programs, RDN educators, flexible education models and practical tools that keep RDN expertise, collaboration</w:t>
      </w:r>
      <w:r w:rsidR="009528D1">
        <w:t>,</w:t>
      </w:r>
      <w:r w:rsidRPr="00CE7111">
        <w:t xml:space="preserve"> and referral at the center.</w:t>
      </w:r>
    </w:p>
    <w:p w:rsidR="00690C41" w:rsidP="007E2F6E" w:rsidRDefault="00E50CF9" w14:paraId="78C41DBF" w14:textId="77777777">
      <w:r w:rsidRPr="00563884">
        <w:rPr>
          <w:b/>
          <w:bCs/>
        </w:rPr>
        <w:t>This initiative is about collaboration and referral, not replacing RDN expertise.</w:t>
      </w:r>
      <w:r w:rsidRPr="00CE7111">
        <w:t xml:space="preserve"> </w:t>
      </w:r>
    </w:p>
    <w:p w:rsidR="006C2FE5" w:rsidP="007E2F6E" w:rsidRDefault="00E50CF9" w14:paraId="4D8552DE" w14:textId="23B1D84F">
      <w:r w:rsidRPr="00CE7111">
        <w:t xml:space="preserve">The goal is to raise physicians’ baseline understanding of nutrition so they can better recognize when nutrition care is needed, collaborate with RDNs and refer patients earlier and more often. </w:t>
      </w:r>
      <w:r w:rsidRPr="00D70035" w:rsidR="00D70035">
        <w:t>When physicians better understand nutrition’s</w:t>
      </w:r>
      <w:r w:rsidRPr="00CE7111">
        <w:t xml:space="preserve"> role </w:t>
      </w:r>
      <w:r w:rsidRPr="00D70035" w:rsidR="00D70035">
        <w:t>in health</w:t>
      </w:r>
      <w:r w:rsidRPr="00CE7111">
        <w:t xml:space="preserve"> and refer to RDNs more </w:t>
      </w:r>
      <w:r w:rsidRPr="00D70035" w:rsidR="00D70035">
        <w:t>consistently,</w:t>
      </w:r>
      <w:r w:rsidRPr="00D70035">
        <w:t xml:space="preserve"> patients managing chronic and acute diseases</w:t>
      </w:r>
      <w:r w:rsidRPr="00D70035" w:rsidR="00D70035">
        <w:t xml:space="preserve"> can receive more timely, evidence-based care</w:t>
      </w:r>
      <w:r w:rsidR="00D70035">
        <w:t>.</w:t>
      </w:r>
    </w:p>
    <w:p w:rsidRPr="00CE7111" w:rsidR="00CE7111" w:rsidP="00CE7111" w:rsidRDefault="00CE7111" w14:paraId="7A5EE6A0" w14:textId="7F53A062">
      <w:pPr>
        <w:rPr>
          <w:b/>
          <w:bCs/>
        </w:rPr>
      </w:pPr>
      <w:r w:rsidRPr="00CE7111">
        <w:rPr>
          <w:b/>
          <w:bCs/>
        </w:rPr>
        <w:t xml:space="preserve">What </w:t>
      </w:r>
      <w:r w:rsidR="00A4493B">
        <w:rPr>
          <w:b/>
          <w:bCs/>
        </w:rPr>
        <w:t xml:space="preserve">Academy </w:t>
      </w:r>
      <w:r w:rsidRPr="00CE7111">
        <w:rPr>
          <w:b/>
          <w:bCs/>
        </w:rPr>
        <w:t>Members Should Know</w:t>
      </w:r>
    </w:p>
    <w:p w:rsidRPr="00CE7111" w:rsidR="00CE7111" w:rsidP="00CE7111" w:rsidRDefault="00CE7111" w14:paraId="25C2846F" w14:textId="48CF3686">
      <w:pPr>
        <w:numPr>
          <w:ilvl w:val="0"/>
          <w:numId w:val="3"/>
        </w:numPr>
      </w:pPr>
      <w:r w:rsidRPr="00CE7111">
        <w:t xml:space="preserve">RDNs are essential to effective nutrition education in medical training. RDNs bring the education, training and evidence-based expertise needed to help future physicians understand how nutrition affects health, recognize when nutrition can help prevent or manage disease and identify when to refer patients to an RDN for specialized care. </w:t>
      </w:r>
    </w:p>
    <w:p w:rsidRPr="00CE7111" w:rsidR="00CE7111" w:rsidP="00CE7111" w:rsidRDefault="00CE7111" w14:paraId="325F56FD" w14:textId="77777777">
      <w:pPr>
        <w:numPr>
          <w:ilvl w:val="0"/>
          <w:numId w:val="3"/>
        </w:numPr>
      </w:pPr>
      <w:r w:rsidRPr="00CE7111">
        <w:t xml:space="preserve">Nutrition and dietetics programs are ready to help medical schools meet this moment. Many programs already have the faculty, courses, competencies and applied learning models that can support medical schools as they strengthen </w:t>
      </w:r>
      <w:r w:rsidRPr="00CE7111">
        <w:lastRenderedPageBreak/>
        <w:t>nutrition education and help future physicians build confidence in recognizing when to involve RDNs.</w:t>
      </w:r>
    </w:p>
    <w:p w:rsidRPr="00CE7111" w:rsidR="00CE7111" w:rsidP="00CE7111" w:rsidRDefault="00CE7111" w14:paraId="0E98F863" w14:textId="50980A20">
      <w:pPr>
        <w:numPr>
          <w:ilvl w:val="0"/>
          <w:numId w:val="3"/>
        </w:numPr>
      </w:pPr>
      <w:r w:rsidRPr="00CE7111">
        <w:t xml:space="preserve">There is no one-size-fits-all model. Medical schools have different structures, timelines and resources. The Academy and ACEND </w:t>
      </w:r>
      <w:r w:rsidR="00815C7D">
        <w:t>are helping</w:t>
      </w:r>
      <w:r w:rsidRPr="00CE7111">
        <w:t xml:space="preserve"> identify flexible options, including guest lectures, modules, case-based learning, culinary medicine, teaching kitchens, RDN-physician co-teaching and microcredential pathways that reinforce recognition and referral.</w:t>
      </w:r>
    </w:p>
    <w:p w:rsidRPr="00CE7111" w:rsidR="00CE7111" w:rsidP="00CE7111" w:rsidRDefault="00CE7111" w14:paraId="1D7DA497" w14:textId="05C0E1AA">
      <w:pPr>
        <w:numPr>
          <w:ilvl w:val="0"/>
          <w:numId w:val="3"/>
        </w:numPr>
      </w:pPr>
      <w:r w:rsidRPr="00CE7111">
        <w:t>Early collaboration between physicians and RDNs strengthens care team integration. When physicians and RDNs learn and work together earlier in training, it creates a more seamless transition into clinical and</w:t>
      </w:r>
      <w:r w:rsidR="00A4493B">
        <w:t xml:space="preserve"> other </w:t>
      </w:r>
      <w:r w:rsidRPr="00CE7111">
        <w:t>healthcare settings. This helps move nutrition from theory to real-world practice sooner, reinforcing team-based care and improving patient outcomes</w:t>
      </w:r>
      <w:r w:rsidR="006E6F7D">
        <w:t>.</w:t>
      </w:r>
    </w:p>
    <w:p w:rsidRPr="00CE7111" w:rsidR="00CE7111" w:rsidP="00CE7111" w:rsidRDefault="00CE7111" w14:paraId="781FF84A" w14:textId="77777777">
      <w:pPr>
        <w:numPr>
          <w:ilvl w:val="0"/>
          <w:numId w:val="3"/>
        </w:numPr>
      </w:pPr>
      <w:r w:rsidRPr="00CE7111">
        <w:t>The Academy is helping move this work from commitment to implementation. The Academy connects policy to practice by convening partners, identifying successful models, developing resources and supporting institutions as they strengthen nutrition education. This work focuses on practical ways to help clinicians recognize nutrition needs, collaborate with RDNs and refer patients for specialized nutrition care.</w:t>
      </w:r>
    </w:p>
    <w:p w:rsidRPr="00CC7D81" w:rsidR="00CC7D81" w:rsidP="00CC7D81" w:rsidRDefault="00CE7111" w14:paraId="023A9507" w14:textId="1CA03DEE">
      <w:pPr>
        <w:numPr>
          <w:ilvl w:val="0"/>
          <w:numId w:val="3"/>
        </w:numPr>
        <w:rPr>
          <w:b/>
          <w:bCs/>
        </w:rPr>
      </w:pPr>
      <w:r w:rsidRPr="00CE7111">
        <w:t>This work supports the Academy’s broader effort to elevate nutrition and RDNs across healthcare. Nutrition education in medical schools is one part of a larger strategy to ensure physicians and other healthcare providers understand the value of RDNs, include RDNs in care teams</w:t>
      </w:r>
      <w:r w:rsidR="00C07285">
        <w:t>,</w:t>
      </w:r>
      <w:r w:rsidRPr="00CE7111">
        <w:t xml:space="preserve"> and consistently refer patients for nutrition care when appropriate. Healthcare increasingly depends on interdisciplinary </w:t>
      </w:r>
      <w:r w:rsidRPr="00CE7111" w:rsidR="00C07285">
        <w:t>teams and</w:t>
      </w:r>
      <w:r w:rsidRPr="00CE7111">
        <w:t xml:space="preserve"> strengthening understanding of when and how to engage RDNs improves collaboration, expands access to nutrition care and leads to better patient outcomes. </w:t>
      </w:r>
    </w:p>
    <w:p w:rsidRPr="00763285" w:rsidR="00CE7111" w:rsidP="00CC7D81" w:rsidRDefault="00CE7111" w14:paraId="7669D365" w14:textId="272FB896">
      <w:pPr>
        <w:rPr>
          <w:b w:val="1"/>
          <w:bCs w:val="1"/>
        </w:rPr>
      </w:pPr>
      <w:r w:rsidRPr="2A98DB2E" w:rsidR="00CE7111">
        <w:rPr>
          <w:b w:val="1"/>
          <w:bCs w:val="1"/>
        </w:rPr>
        <w:t xml:space="preserve">How Academy Members Can </w:t>
      </w:r>
      <w:r w:rsidRPr="2A98DB2E" w:rsidR="004B75B9">
        <w:rPr>
          <w:b w:val="1"/>
          <w:bCs w:val="1"/>
        </w:rPr>
        <w:t>Get Involved</w:t>
      </w:r>
    </w:p>
    <w:p w:rsidRPr="00CE7111" w:rsidR="00CE7111" w:rsidP="00CE7111" w:rsidRDefault="00CE7111" w14:paraId="54DFC865" w14:textId="77777777">
      <w:r w:rsidRPr="00CE7111">
        <w:t>Academy members can play an important role in helping future physicians and other healthcare providers better understand nutrition and the value of RDNs.</w:t>
      </w:r>
    </w:p>
    <w:p w:rsidRPr="00CE7111" w:rsidR="00CE7111" w:rsidP="00CE7111" w:rsidRDefault="00CE7111" w14:paraId="2817AA87" w14:textId="77777777">
      <w:r w:rsidRPr="00CE7111">
        <w:t>Members can:</w:t>
      </w:r>
    </w:p>
    <w:p w:rsidRPr="00CE7111" w:rsidR="00CE7111" w:rsidP="00CE7111" w:rsidRDefault="00CE7111" w14:paraId="2EF5BCBC" w14:textId="77777777">
      <w:pPr>
        <w:numPr>
          <w:ilvl w:val="0"/>
          <w:numId w:val="4"/>
        </w:numPr>
      </w:pPr>
      <w:r w:rsidRPr="00CE7111">
        <w:t>Identify medical schools, residency programs or health professions programs in their region</w:t>
      </w:r>
    </w:p>
    <w:p w:rsidRPr="00CE7111" w:rsidR="00CE7111" w:rsidP="00CE7111" w:rsidRDefault="00CE7111" w14:paraId="24563AE9" w14:textId="77777777">
      <w:pPr>
        <w:numPr>
          <w:ilvl w:val="0"/>
          <w:numId w:val="4"/>
        </w:numPr>
      </w:pPr>
      <w:r w:rsidRPr="00CE7111">
        <w:t>Share examples of existing partnerships or education models with the Academy and ACEND</w:t>
      </w:r>
    </w:p>
    <w:p w:rsidRPr="00CE7111" w:rsidR="00CE7111" w:rsidP="00CE7111" w:rsidRDefault="00CE7111" w14:paraId="1B1EC27B" w14:textId="77777777">
      <w:pPr>
        <w:numPr>
          <w:ilvl w:val="0"/>
          <w:numId w:val="4"/>
        </w:numPr>
      </w:pPr>
      <w:r w:rsidRPr="00CE7111">
        <w:lastRenderedPageBreak/>
        <w:t>Explore opportunities to provide lectures, modules, case studies, interprofessional learning or clinical experiences</w:t>
      </w:r>
    </w:p>
    <w:p w:rsidRPr="00CE7111" w:rsidR="00CE7111" w:rsidP="00CE7111" w:rsidRDefault="00CE7111" w14:paraId="0617A741" w14:textId="77777777">
      <w:pPr>
        <w:numPr>
          <w:ilvl w:val="0"/>
          <w:numId w:val="4"/>
        </w:numPr>
      </w:pPr>
      <w:r w:rsidRPr="00CE7111">
        <w:t>Reinforce the message that nutrition education should support collaboration with and referral to RDNs</w:t>
      </w:r>
    </w:p>
    <w:p w:rsidRPr="00CE7111" w:rsidR="00CE7111" w:rsidP="00CE7111" w:rsidRDefault="00CE7111" w14:paraId="54780F6D" w14:textId="77777777">
      <w:pPr>
        <w:numPr>
          <w:ilvl w:val="0"/>
          <w:numId w:val="4"/>
        </w:numPr>
      </w:pPr>
      <w:r w:rsidRPr="00CE7111">
        <w:t>Use Academy resources and toolkit materials to help amplify this initiative</w:t>
      </w:r>
    </w:p>
    <w:p w:rsidRPr="00CE7111" w:rsidR="00CE7111" w:rsidP="00CE7111" w:rsidRDefault="00CE7111" w14:paraId="600BCDC8" w14:textId="77777777">
      <w:pPr>
        <w:rPr>
          <w:b/>
          <w:bCs/>
        </w:rPr>
      </w:pPr>
      <w:r w:rsidRPr="00CE7111">
        <w:rPr>
          <w:b/>
          <w:bCs/>
        </w:rPr>
        <w:t>Bottom Line</w:t>
      </w:r>
    </w:p>
    <w:p w:rsidRPr="00D630BF" w:rsidR="00CE7111" w:rsidP="00CE7111" w:rsidRDefault="00CE7111" w14:paraId="3FE25131" w14:textId="5479C4F0">
      <w:r w:rsidRPr="00CE7111">
        <w:t xml:space="preserve">This initiative is an opportunity to elevate RDNs across healthcare, strengthen collaboration with physicians and help patients receive specialized nutrition care earlier and more often when medically appropriate. </w:t>
      </w:r>
    </w:p>
    <w:p w:rsidR="006C2FE5" w:rsidRDefault="006C2FE5" w14:paraId="21075BA8" w14:textId="77777777"/>
    <w:sectPr w:rsidR="006C2FE5">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1A4"/>
    <w:multiLevelType w:val="multilevel"/>
    <w:tmpl w:val="E6061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4970D7"/>
    <w:multiLevelType w:val="multilevel"/>
    <w:tmpl w:val="73C23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CA91536"/>
    <w:multiLevelType w:val="multilevel"/>
    <w:tmpl w:val="B7E69B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FC55D63"/>
    <w:multiLevelType w:val="multilevel"/>
    <w:tmpl w:val="CBD05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35060983">
    <w:abstractNumId w:val="3"/>
  </w:num>
  <w:num w:numId="2" w16cid:durableId="855459820">
    <w:abstractNumId w:val="1"/>
  </w:num>
  <w:num w:numId="3" w16cid:durableId="961691036">
    <w:abstractNumId w:val="0"/>
  </w:num>
  <w:num w:numId="4" w16cid:durableId="364988126">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0E"/>
    <w:rsid w:val="00042BFA"/>
    <w:rsid w:val="00064FF1"/>
    <w:rsid w:val="00314C56"/>
    <w:rsid w:val="004B75B9"/>
    <w:rsid w:val="004D044B"/>
    <w:rsid w:val="00563884"/>
    <w:rsid w:val="005E793E"/>
    <w:rsid w:val="0060097A"/>
    <w:rsid w:val="006012DD"/>
    <w:rsid w:val="00690C41"/>
    <w:rsid w:val="006B6237"/>
    <w:rsid w:val="006C2FE5"/>
    <w:rsid w:val="006E6F7D"/>
    <w:rsid w:val="00763285"/>
    <w:rsid w:val="00815C7D"/>
    <w:rsid w:val="00845B86"/>
    <w:rsid w:val="0090050E"/>
    <w:rsid w:val="009528D1"/>
    <w:rsid w:val="00954EC1"/>
    <w:rsid w:val="00A4493B"/>
    <w:rsid w:val="00AF1699"/>
    <w:rsid w:val="00C07285"/>
    <w:rsid w:val="00CC7D81"/>
    <w:rsid w:val="00CE7111"/>
    <w:rsid w:val="00D630BF"/>
    <w:rsid w:val="00D70035"/>
    <w:rsid w:val="00E41DA7"/>
    <w:rsid w:val="00E50CF9"/>
    <w:rsid w:val="2A98D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CF13"/>
  <w15:chartTrackingRefBased/>
  <w15:docId w15:val="{EBEF0C6F-D027-413B-88C0-FFCF04134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0050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050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5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5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5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5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5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5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50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0050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0050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0050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0050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0050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0050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0050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0050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0050E"/>
    <w:rPr>
      <w:rFonts w:eastAsiaTheme="majorEastAsia" w:cstheme="majorBidi"/>
      <w:color w:val="272727" w:themeColor="text1" w:themeTint="D8"/>
    </w:rPr>
  </w:style>
  <w:style w:type="paragraph" w:styleId="Title">
    <w:name w:val="Title"/>
    <w:basedOn w:val="Normal"/>
    <w:next w:val="Normal"/>
    <w:link w:val="TitleChar"/>
    <w:uiPriority w:val="10"/>
    <w:qFormat/>
    <w:rsid w:val="0090050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0050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0050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00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50E"/>
    <w:pPr>
      <w:spacing w:before="160"/>
      <w:jc w:val="center"/>
    </w:pPr>
    <w:rPr>
      <w:i/>
      <w:iCs/>
      <w:color w:val="404040" w:themeColor="text1" w:themeTint="BF"/>
    </w:rPr>
  </w:style>
  <w:style w:type="character" w:styleId="QuoteChar" w:customStyle="1">
    <w:name w:val="Quote Char"/>
    <w:basedOn w:val="DefaultParagraphFont"/>
    <w:link w:val="Quote"/>
    <w:uiPriority w:val="29"/>
    <w:rsid w:val="0090050E"/>
    <w:rPr>
      <w:i/>
      <w:iCs/>
      <w:color w:val="404040" w:themeColor="text1" w:themeTint="BF"/>
    </w:rPr>
  </w:style>
  <w:style w:type="paragraph" w:styleId="ListParagraph">
    <w:name w:val="List Paragraph"/>
    <w:basedOn w:val="Normal"/>
    <w:uiPriority w:val="34"/>
    <w:qFormat/>
    <w:rsid w:val="0090050E"/>
    <w:pPr>
      <w:ind w:left="720"/>
      <w:contextualSpacing/>
    </w:pPr>
  </w:style>
  <w:style w:type="character" w:styleId="IntenseEmphasis">
    <w:name w:val="Intense Emphasis"/>
    <w:basedOn w:val="DefaultParagraphFont"/>
    <w:uiPriority w:val="21"/>
    <w:qFormat/>
    <w:rsid w:val="0090050E"/>
    <w:rPr>
      <w:i/>
      <w:iCs/>
      <w:color w:val="0F4761" w:themeColor="accent1" w:themeShade="BF"/>
    </w:rPr>
  </w:style>
  <w:style w:type="paragraph" w:styleId="IntenseQuote">
    <w:name w:val="Intense Quote"/>
    <w:basedOn w:val="Normal"/>
    <w:next w:val="Normal"/>
    <w:link w:val="IntenseQuoteChar"/>
    <w:uiPriority w:val="30"/>
    <w:qFormat/>
    <w:rsid w:val="0090050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0050E"/>
    <w:rPr>
      <w:i/>
      <w:iCs/>
      <w:color w:val="0F4761" w:themeColor="accent1" w:themeShade="BF"/>
    </w:rPr>
  </w:style>
  <w:style w:type="character" w:styleId="IntenseReference">
    <w:name w:val="Intense Reference"/>
    <w:basedOn w:val="DefaultParagraphFont"/>
    <w:uiPriority w:val="32"/>
    <w:qFormat/>
    <w:rsid w:val="0090050E"/>
    <w:rPr>
      <w:b/>
      <w:bCs/>
      <w:smallCaps/>
      <w:color w:val="0F4761" w:themeColor="accent1" w:themeShade="BF"/>
      <w:spacing w:val="5"/>
    </w:rPr>
  </w:style>
  <w:style w:type="character" w:styleId="CommentReference">
    <w:name w:val="annotation reference"/>
    <w:basedOn w:val="DefaultParagraphFont"/>
    <w:uiPriority w:val="99"/>
    <w:semiHidden/>
    <w:unhideWhenUsed/>
    <w:rsid w:val="00314C56"/>
    <w:rPr>
      <w:sz w:val="16"/>
      <w:szCs w:val="16"/>
    </w:rPr>
  </w:style>
  <w:style w:type="paragraph" w:styleId="CommentText">
    <w:name w:val="annotation text"/>
    <w:basedOn w:val="Normal"/>
    <w:link w:val="CommentTextChar"/>
    <w:uiPriority w:val="99"/>
    <w:unhideWhenUsed/>
    <w:rsid w:val="00314C56"/>
    <w:pPr>
      <w:spacing w:line="240" w:lineRule="auto"/>
    </w:pPr>
    <w:rPr>
      <w:sz w:val="20"/>
      <w:szCs w:val="20"/>
    </w:rPr>
  </w:style>
  <w:style w:type="character" w:styleId="CommentTextChar" w:customStyle="1">
    <w:name w:val="Comment Text Char"/>
    <w:basedOn w:val="DefaultParagraphFont"/>
    <w:link w:val="CommentText"/>
    <w:uiPriority w:val="99"/>
    <w:rsid w:val="00314C56"/>
    <w:rPr>
      <w:sz w:val="20"/>
      <w:szCs w:val="20"/>
    </w:rPr>
  </w:style>
  <w:style w:type="paragraph" w:styleId="CommentSubject">
    <w:name w:val="annotation subject"/>
    <w:basedOn w:val="CommentText"/>
    <w:next w:val="CommentText"/>
    <w:link w:val="CommentSubjectChar"/>
    <w:uiPriority w:val="99"/>
    <w:semiHidden/>
    <w:unhideWhenUsed/>
    <w:rsid w:val="00314C56"/>
    <w:rPr>
      <w:b/>
      <w:bCs/>
    </w:rPr>
  </w:style>
  <w:style w:type="character" w:styleId="CommentSubjectChar" w:customStyle="1">
    <w:name w:val="Comment Subject Char"/>
    <w:basedOn w:val="CommentTextChar"/>
    <w:link w:val="CommentSubject"/>
    <w:uiPriority w:val="99"/>
    <w:semiHidden/>
    <w:rsid w:val="00314C56"/>
    <w:rPr>
      <w:b/>
      <w:bCs/>
      <w:sz w:val="20"/>
      <w:szCs w:val="20"/>
    </w:rPr>
  </w:style>
  <w:style w:type="paragraph" w:styleId="Revision">
    <w:name w:val="Revision"/>
    <w:hidden/>
    <w:uiPriority w:val="99"/>
    <w:semiHidden/>
    <w:rsid w:val="00314C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 Zande</dc:creator>
  <keywords/>
  <dc:description/>
  <lastModifiedBy>Lauren Fox</lastModifiedBy>
  <revision>23</revision>
  <dcterms:created xsi:type="dcterms:W3CDTF">2026-08-05T01:20:00.0000000Z</dcterms:created>
  <dcterms:modified xsi:type="dcterms:W3CDTF">2026-09-21T22:11:47.1728891Z</dcterms:modified>
</coreProperties>
</file>