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5D63" w:rsidR="009F5D63" w:rsidP="009F5D63" w:rsidRDefault="009F5D63" w14:paraId="27E27276" w14:textId="77777777">
      <w:pPr>
        <w:pStyle w:val="Heading2"/>
      </w:pPr>
      <w:r w:rsidRPr="009F5D63">
        <w:t>External Message Toolkit</w:t>
      </w:r>
    </w:p>
    <w:p w:rsidRPr="009F5D63" w:rsidR="009F5D63" w:rsidP="009F5D63" w:rsidRDefault="009F5D63" w14:paraId="354DF34E" w14:textId="77777777">
      <w:pPr>
        <w:pStyle w:val="Heading2"/>
      </w:pPr>
      <w:r w:rsidRPr="009F5D63">
        <w:t>Nutrition Education in Medical Schools</w:t>
      </w:r>
    </w:p>
    <w:p w:rsidRPr="002C1E53" w:rsidR="002C1E53" w:rsidP="002C1E53" w:rsidRDefault="002C1E53" w14:paraId="258EA988" w14:textId="77777777">
      <w:pPr>
        <w:rPr>
          <w:b/>
          <w:bCs/>
        </w:rPr>
      </w:pPr>
      <w:r w:rsidRPr="002C1E53">
        <w:rPr>
          <w:b/>
          <w:bCs/>
        </w:rPr>
        <w:t>About This Toolkit</w:t>
      </w:r>
    </w:p>
    <w:p w:rsidRPr="00094DCD" w:rsidR="002C1E53" w:rsidP="002C1E53" w:rsidRDefault="002C1E53" w14:paraId="6D0A8B43" w14:textId="14FAF87A">
      <w:r w:rsidRPr="002C1E53" w:rsidR="458785BE">
        <w:rPr/>
        <w:t xml:space="preserve">The Academy </w:t>
      </w:r>
      <w:r w:rsidR="1ED4851A">
        <w:rPr/>
        <w:t>of N</w:t>
      </w:r>
      <w:r w:rsidR="02999293">
        <w:rPr/>
        <w:t>utrition a</w:t>
      </w:r>
      <w:r w:rsidR="7E4417AE">
        <w:rPr/>
        <w:t>nd Dietet</w:t>
      </w:r>
      <w:r w:rsidR="058BCA48">
        <w:rPr/>
        <w:t xml:space="preserve">ics </w:t>
      </w:r>
      <w:r w:rsidRPr="002C1E53" w:rsidR="458785BE">
        <w:rPr/>
        <w:t>and</w:t>
      </w:r>
      <w:r w:rsidR="507FB55B">
        <w:rPr/>
        <w:t xml:space="preserve"> </w:t>
      </w:r>
      <w:r w:rsidRPr="00FA7ACC" w:rsidR="507FB55B">
        <w:rPr>
          <w:rFonts w:eastAsia="Times New Roman" w:cs="Times New Roman"/>
          <w:kern w:val="0"/>
          <w14:ligatures w14:val="none"/>
        </w:rPr>
        <w:t xml:space="preserve">the Accreditation Council for Education in Nutrition and Dietetics </w:t>
      </w:r>
      <w:r w:rsidR="507FB55B">
        <w:rPr>
          <w:rFonts w:eastAsia="Times New Roman" w:cs="Times New Roman"/>
          <w:kern w:val="0"/>
          <w14:ligatures w14:val="none"/>
        </w:rPr>
        <w:t xml:space="preserve">(ACEND) </w:t>
      </w:r>
      <w:r w:rsidRPr="002C1E53" w:rsidR="458785BE">
        <w:rPr/>
        <w:t xml:space="preserve">are working to strengthen nutrition education in medical schools and improve healthcare professionals’ understanding of nutrition, </w:t>
      </w:r>
      <w:r w:rsidRPr="00094DCD" w:rsidR="458785BE">
        <w:rPr/>
        <w:t>including the role nutrition care plays in preventing and managing chronic and acute diseases and improving health outcomes.</w:t>
      </w:r>
    </w:p>
    <w:p w:rsidR="1739E90E" w:rsidRDefault="1739E90E" w14:paraId="3843E99F" w14:textId="747FE708">
      <w:r w:rsidR="1739E90E">
        <w:rPr/>
        <w:t>This toolkit is designed for medical schools, healthcare providers, universities, partner organizations and other stakeholders to help share this initiative, amplify key messages and support stronger collaboration between future physicians, healthcare providers and credentialed nutrition and dietetics professionals.</w:t>
      </w:r>
    </w:p>
    <w:p w:rsidRPr="002C1E53" w:rsidR="002C1E53" w:rsidP="002C1E53" w:rsidRDefault="002C1E53" w14:paraId="7878101A" w14:textId="77777777">
      <w:pPr>
        <w:rPr>
          <w:b/>
          <w:bCs/>
        </w:rPr>
      </w:pPr>
      <w:r w:rsidRPr="002C1E53">
        <w:rPr>
          <w:b/>
          <w:bCs/>
        </w:rPr>
        <w:t>Core Message</w:t>
      </w:r>
    </w:p>
    <w:p w:rsidRPr="00094DCD" w:rsidR="002C1E53" w:rsidP="002C1E53" w:rsidRDefault="002C1E53" w14:paraId="310E9BCC" w14:textId="77777777">
      <w:r w:rsidRPr="002C1E53">
        <w:t xml:space="preserve">Nutrition education in medical schools can help future physicians and other healthcare providers better recognize when nutrition care is needed, collaborate with RDNs and refer patients for specialized nutrition care when medically appropriate. </w:t>
      </w:r>
      <w:r w:rsidRPr="00094DCD">
        <w:t>By strengthening these connections, healthcare teams can better support patients managing chronic and acute diseases and improve health outcomes.</w:t>
      </w:r>
    </w:p>
    <w:p w:rsidRPr="002C1E53" w:rsidR="002C1E53" w:rsidP="002C1E53" w:rsidRDefault="002C1E53" w14:paraId="187BBFBF" w14:textId="77777777">
      <w:r w:rsidR="6FCFB5D3">
        <w:rPr/>
        <w:t>This initiative is about collaboration and referral, not replacing RDN expertise.</w:t>
      </w:r>
    </w:p>
    <w:p w:rsidR="669A2E80" w:rsidP="3381CE58" w:rsidRDefault="669A2E80" w14:paraId="1BCB3CE9" w14:textId="09BE74C4">
      <w:pPr>
        <w:ind w:left="0"/>
      </w:pPr>
      <w:r w:rsidRPr="3381CE58" w:rsidR="669A2E80">
        <w:rPr>
          <w:rFonts w:ascii="Aptos" w:hAnsi="Aptos" w:eastAsia="Aptos" w:cs="Aptos"/>
          <w:b w:val="1"/>
          <w:bCs w:val="1"/>
          <w:noProof w:val="0"/>
          <w:sz w:val="24"/>
          <w:szCs w:val="24"/>
          <w:lang w:val="en-US"/>
        </w:rPr>
        <w:t>Key Messages for Medical Schools and Universities</w:t>
      </w:r>
    </w:p>
    <w:p w:rsidR="669A2E80" w:rsidP="3381CE58" w:rsidRDefault="669A2E80" w14:paraId="793979A6" w14:textId="256BE6DB">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 xml:space="preserve">Nutrition education can help future physicians better understand the role nutrition plays in prevention, treatment, long-term health and the care of patients with chronic and acute diseases. </w:t>
      </w:r>
    </w:p>
    <w:p w:rsidR="3381CE58" w:rsidP="3381CE58" w:rsidRDefault="3381CE58" w14:paraId="6A231354" w14:textId="57DF99B9">
      <w:pPr>
        <w:pStyle w:val="ListParagraph"/>
        <w:spacing w:before="0" w:beforeAutospacing="off" w:after="0" w:afterAutospacing="off"/>
        <w:ind w:left="720"/>
        <w:rPr>
          <w:rFonts w:ascii="Aptos" w:hAnsi="Aptos" w:eastAsia="Aptos" w:cs="Aptos"/>
          <w:noProof w:val="0"/>
          <w:sz w:val="24"/>
          <w:szCs w:val="24"/>
          <w:lang w:val="en-US"/>
        </w:rPr>
      </w:pPr>
    </w:p>
    <w:p w:rsidR="669A2E80" w:rsidP="3381CE58" w:rsidRDefault="669A2E80" w14:paraId="09681122" w14:textId="61CE0069">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 xml:space="preserve">Schools do not need to </w:t>
      </w:r>
      <w:r w:rsidRPr="3381CE58" w:rsidR="669A2E80">
        <w:rPr>
          <w:rFonts w:ascii="Aptos" w:hAnsi="Aptos" w:eastAsia="Aptos" w:cs="Aptos"/>
          <w:noProof w:val="0"/>
          <w:sz w:val="24"/>
          <w:szCs w:val="24"/>
          <w:lang w:val="en-US"/>
        </w:rPr>
        <w:t>start from scratch</w:t>
      </w:r>
      <w:r w:rsidRPr="3381CE58" w:rsidR="669A2E80">
        <w:rPr>
          <w:rFonts w:ascii="Aptos" w:hAnsi="Aptos" w:eastAsia="Aptos" w:cs="Aptos"/>
          <w:noProof w:val="0"/>
          <w:sz w:val="24"/>
          <w:szCs w:val="24"/>
          <w:lang w:val="en-US"/>
        </w:rPr>
        <w:t xml:space="preserve">. Nutrition and dietetics programs can provide faculty </w:t>
      </w:r>
      <w:r w:rsidRPr="3381CE58" w:rsidR="669A2E80">
        <w:rPr>
          <w:rFonts w:ascii="Aptos" w:hAnsi="Aptos" w:eastAsia="Aptos" w:cs="Aptos"/>
          <w:noProof w:val="0"/>
          <w:sz w:val="24"/>
          <w:szCs w:val="24"/>
          <w:lang w:val="en-US"/>
        </w:rPr>
        <w:t>expertise</w:t>
      </w:r>
      <w:r w:rsidRPr="3381CE58" w:rsidR="669A2E80">
        <w:rPr>
          <w:rFonts w:ascii="Aptos" w:hAnsi="Aptos" w:eastAsia="Aptos" w:cs="Aptos"/>
          <w:noProof w:val="0"/>
          <w:sz w:val="24"/>
          <w:szCs w:val="24"/>
          <w:lang w:val="en-US"/>
        </w:rPr>
        <w:t xml:space="preserve">, course content, applied learning </w:t>
      </w:r>
      <w:r w:rsidRPr="3381CE58" w:rsidR="669A2E80">
        <w:rPr>
          <w:rFonts w:ascii="Aptos" w:hAnsi="Aptos" w:eastAsia="Aptos" w:cs="Aptos"/>
          <w:noProof w:val="0"/>
          <w:sz w:val="24"/>
          <w:szCs w:val="24"/>
          <w:lang w:val="en-US"/>
        </w:rPr>
        <w:t>models</w:t>
      </w:r>
      <w:r w:rsidRPr="3381CE58" w:rsidR="669A2E80">
        <w:rPr>
          <w:rFonts w:ascii="Aptos" w:hAnsi="Aptos" w:eastAsia="Aptos" w:cs="Aptos"/>
          <w:noProof w:val="0"/>
          <w:sz w:val="24"/>
          <w:szCs w:val="24"/>
          <w:lang w:val="en-US"/>
        </w:rPr>
        <w:t xml:space="preserve"> and practical tools. </w:t>
      </w:r>
    </w:p>
    <w:p w:rsidR="3381CE58" w:rsidP="3381CE58" w:rsidRDefault="3381CE58" w14:paraId="4109948F" w14:textId="3256A185">
      <w:pPr>
        <w:pStyle w:val="ListParagraph"/>
        <w:spacing w:before="0" w:beforeAutospacing="off" w:after="0" w:afterAutospacing="off"/>
        <w:ind w:left="720"/>
        <w:rPr>
          <w:rFonts w:ascii="Aptos" w:hAnsi="Aptos" w:eastAsia="Aptos" w:cs="Aptos"/>
          <w:noProof w:val="0"/>
          <w:sz w:val="24"/>
          <w:szCs w:val="24"/>
          <w:lang w:val="en-US"/>
        </w:rPr>
      </w:pPr>
    </w:p>
    <w:p w:rsidR="669A2E80" w:rsidP="3381CE58" w:rsidRDefault="669A2E80" w14:paraId="4BA1709D" w14:textId="52073B74">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 xml:space="preserve">Flexible approaches such as guest lectures, modules, case-based learning, culinary medicine, interprofessional education and microcredential pathways can help schools strengthen nutrition education in ways that fit their curriculum. </w:t>
      </w:r>
    </w:p>
    <w:p w:rsidR="669A2E80" w:rsidP="3381CE58" w:rsidRDefault="669A2E80" w14:paraId="05BA847C" w14:textId="0D9C3D27">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 xml:space="preserve">Including RDN expertise in medical education can help future physicians understand when to collaborate with and refer to RDNs so patients can access evidence-based nutrition care when medically appropriate. </w:t>
      </w:r>
    </w:p>
    <w:p w:rsidR="669A2E80" w:rsidP="3381CE58" w:rsidRDefault="669A2E80" w14:paraId="358BDC8E" w14:textId="2A98A43A">
      <w:pPr>
        <w:pStyle w:val="Normal"/>
        <w:spacing w:before="240" w:beforeAutospacing="off" w:after="240" w:afterAutospacing="off"/>
        <w:ind w:left="0"/>
        <w:rPr>
          <w:rFonts w:ascii="Aptos" w:hAnsi="Aptos" w:eastAsia="Aptos" w:cs="Aptos"/>
          <w:b w:val="1"/>
          <w:bCs w:val="1"/>
          <w:noProof w:val="0"/>
          <w:sz w:val="24"/>
          <w:szCs w:val="24"/>
          <w:lang w:val="en-US"/>
        </w:rPr>
      </w:pPr>
      <w:r w:rsidRPr="3381CE58" w:rsidR="669A2E80">
        <w:rPr>
          <w:rFonts w:ascii="Aptos" w:hAnsi="Aptos" w:eastAsia="Aptos" w:cs="Aptos"/>
          <w:b w:val="1"/>
          <w:bCs w:val="1"/>
          <w:noProof w:val="0"/>
          <w:sz w:val="24"/>
          <w:szCs w:val="24"/>
          <w:lang w:val="en-US"/>
        </w:rPr>
        <w:t>Key Messages for Healthcare Providers</w:t>
      </w:r>
    </w:p>
    <w:p w:rsidR="669A2E80" w:rsidP="3381CE58" w:rsidRDefault="669A2E80" w14:paraId="5DA9C32B" w14:textId="5CBE972C">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 xml:space="preserve">Nutrition is an important part of patient care, including the prevention and management of chronic and acute diseases, but healthcare providers do not need to manage it alone. </w:t>
      </w:r>
    </w:p>
    <w:p w:rsidR="3381CE58" w:rsidP="3381CE58" w:rsidRDefault="3381CE58" w14:paraId="3F613A0D" w14:textId="4DEB32C9">
      <w:pPr>
        <w:pStyle w:val="ListParagraph"/>
        <w:spacing w:before="0" w:beforeAutospacing="off" w:after="0" w:afterAutospacing="off"/>
        <w:ind w:left="720"/>
        <w:rPr>
          <w:rFonts w:ascii="Aptos" w:hAnsi="Aptos" w:eastAsia="Aptos" w:cs="Aptos"/>
          <w:noProof w:val="0"/>
          <w:sz w:val="24"/>
          <w:szCs w:val="24"/>
          <w:lang w:val="en-US"/>
        </w:rPr>
      </w:pPr>
    </w:p>
    <w:p w:rsidR="669A2E80" w:rsidP="3381CE58" w:rsidRDefault="669A2E80" w14:paraId="0344F14A" w14:textId="6F7358C8">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 xml:space="preserve">RDNs are essential care team partners who provide evidence-based nutrition care, medical nutrition therapy and individualized support for patients. </w:t>
      </w:r>
    </w:p>
    <w:p w:rsidR="3381CE58" w:rsidP="3381CE58" w:rsidRDefault="3381CE58" w14:paraId="07BF99F5" w14:textId="2E7B6C6B">
      <w:pPr>
        <w:pStyle w:val="ListParagraph"/>
        <w:spacing w:before="0" w:beforeAutospacing="off" w:after="0" w:afterAutospacing="off"/>
        <w:ind w:left="720"/>
        <w:rPr>
          <w:rFonts w:ascii="Aptos" w:hAnsi="Aptos" w:eastAsia="Aptos" w:cs="Aptos"/>
          <w:noProof w:val="0"/>
          <w:sz w:val="24"/>
          <w:szCs w:val="24"/>
          <w:lang w:val="en-US"/>
        </w:rPr>
      </w:pPr>
    </w:p>
    <w:p w:rsidR="669A2E80" w:rsidP="3381CE58" w:rsidRDefault="669A2E80" w14:paraId="59821628" w14:textId="1098268D">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 xml:space="preserve">Strengthening nutrition education can help physicians and other healthcare providers better identify patients who may benefit from specialized nutrition care. </w:t>
      </w:r>
    </w:p>
    <w:p w:rsidR="3381CE58" w:rsidP="3381CE58" w:rsidRDefault="3381CE58" w14:paraId="6DC6FCE7" w14:textId="095F767B">
      <w:pPr>
        <w:pStyle w:val="ListParagraph"/>
        <w:spacing w:before="0" w:beforeAutospacing="off" w:after="0" w:afterAutospacing="off"/>
        <w:ind w:left="720"/>
        <w:rPr>
          <w:rFonts w:ascii="Aptos" w:hAnsi="Aptos" w:eastAsia="Aptos" w:cs="Aptos"/>
          <w:noProof w:val="0"/>
          <w:sz w:val="24"/>
          <w:szCs w:val="24"/>
          <w:lang w:val="en-US"/>
        </w:rPr>
      </w:pPr>
    </w:p>
    <w:p w:rsidR="669A2E80" w:rsidP="3381CE58" w:rsidRDefault="669A2E80" w14:paraId="098359C2" w14:textId="7EFF27BB">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 xml:space="preserve">Better understanding of nutrition and referral pathways can support more coordinated, team-based care and help connect patients to nutrition care that supports improved health outcomes. </w:t>
      </w:r>
    </w:p>
    <w:p w:rsidR="669A2E80" w:rsidP="3381CE58" w:rsidRDefault="669A2E80" w14:paraId="46EC337B" w14:textId="36060B00">
      <w:pPr>
        <w:pStyle w:val="Normal"/>
        <w:spacing w:before="240" w:beforeAutospacing="off" w:after="240" w:afterAutospacing="off"/>
        <w:ind w:left="0"/>
        <w:rPr>
          <w:rFonts w:ascii="Aptos" w:hAnsi="Aptos" w:eastAsia="Aptos" w:cs="Aptos"/>
          <w:b w:val="1"/>
          <w:bCs w:val="1"/>
          <w:noProof w:val="0"/>
          <w:sz w:val="24"/>
          <w:szCs w:val="24"/>
          <w:lang w:val="en-US"/>
        </w:rPr>
      </w:pPr>
      <w:r w:rsidRPr="3381CE58" w:rsidR="669A2E80">
        <w:rPr>
          <w:rFonts w:ascii="Aptos" w:hAnsi="Aptos" w:eastAsia="Aptos" w:cs="Aptos"/>
          <w:b w:val="1"/>
          <w:bCs w:val="1"/>
          <w:noProof w:val="0"/>
          <w:sz w:val="24"/>
          <w:szCs w:val="24"/>
          <w:lang w:val="en-US"/>
        </w:rPr>
        <w:t>Key Messages for Partner Organizations and Stakeholders</w:t>
      </w:r>
    </w:p>
    <w:p w:rsidR="669A2E80" w:rsidP="3381CE58" w:rsidRDefault="669A2E80" w14:paraId="6E3BA59F" w14:textId="5B45BD70">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 xml:space="preserve">Strengthening nutrition education in medical schools is an opportunity to improve patient care, support better health outcomes and prepare the future healthcare workforce. </w:t>
      </w:r>
    </w:p>
    <w:p w:rsidR="3381CE58" w:rsidP="3381CE58" w:rsidRDefault="3381CE58" w14:paraId="27405986" w14:textId="015D9F76">
      <w:pPr>
        <w:pStyle w:val="ListParagraph"/>
        <w:spacing w:before="0" w:beforeAutospacing="off" w:after="0" w:afterAutospacing="off"/>
        <w:ind w:left="720"/>
        <w:rPr>
          <w:rFonts w:ascii="Aptos" w:hAnsi="Aptos" w:eastAsia="Aptos" w:cs="Aptos"/>
          <w:noProof w:val="0"/>
          <w:sz w:val="24"/>
          <w:szCs w:val="24"/>
          <w:lang w:val="en-US"/>
        </w:rPr>
      </w:pPr>
    </w:p>
    <w:p w:rsidR="669A2E80" w:rsidP="3381CE58" w:rsidRDefault="669A2E80" w14:paraId="2F13BDB6" w14:textId="6956A6BA">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 xml:space="preserve">RDNs bring specialized, evidence-based nutrition expertise that should be included in education, care team collaboration and referral pathways. </w:t>
      </w:r>
    </w:p>
    <w:p w:rsidR="3381CE58" w:rsidP="3381CE58" w:rsidRDefault="3381CE58" w14:paraId="7D9DB933" w14:textId="31D6A905">
      <w:pPr>
        <w:pStyle w:val="ListParagraph"/>
        <w:spacing w:before="0" w:beforeAutospacing="off" w:after="0" w:afterAutospacing="off"/>
        <w:ind w:left="720"/>
        <w:rPr>
          <w:rFonts w:ascii="Aptos" w:hAnsi="Aptos" w:eastAsia="Aptos" w:cs="Aptos"/>
          <w:noProof w:val="0"/>
          <w:sz w:val="24"/>
          <w:szCs w:val="24"/>
          <w:lang w:val="en-US"/>
        </w:rPr>
      </w:pPr>
    </w:p>
    <w:p w:rsidR="669A2E80" w:rsidP="3381CE58" w:rsidRDefault="669A2E80" w14:paraId="3E33A67F" w14:textId="380FC1B5">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 xml:space="preserve">The Academy and ACEND are helping connect programs, identify flexible implementation models and develop resources to support this initiative. </w:t>
      </w:r>
    </w:p>
    <w:p w:rsidR="3381CE58" w:rsidP="3381CE58" w:rsidRDefault="3381CE58" w14:paraId="3F7FCB7F" w14:textId="5382EC24">
      <w:pPr>
        <w:pStyle w:val="ListParagraph"/>
        <w:spacing w:before="0" w:beforeAutospacing="off" w:after="0" w:afterAutospacing="off"/>
        <w:ind w:left="720"/>
        <w:rPr>
          <w:rFonts w:ascii="Aptos" w:hAnsi="Aptos" w:eastAsia="Aptos" w:cs="Aptos"/>
          <w:noProof w:val="0"/>
          <w:sz w:val="24"/>
          <w:szCs w:val="24"/>
          <w:lang w:val="en-US"/>
        </w:rPr>
      </w:pPr>
    </w:p>
    <w:p w:rsidR="669A2E80" w:rsidP="3381CE58" w:rsidRDefault="669A2E80" w14:paraId="0B465D97" w14:textId="0EF0B3F5">
      <w:pPr>
        <w:pStyle w:val="ListParagraph"/>
        <w:numPr>
          <w:ilvl w:val="0"/>
          <w:numId w:val="10"/>
        </w:numPr>
        <w:spacing w:before="0" w:beforeAutospacing="off" w:after="0" w:afterAutospacing="off"/>
        <w:rPr>
          <w:rFonts w:ascii="Aptos" w:hAnsi="Aptos" w:eastAsia="Aptos" w:cs="Aptos"/>
          <w:noProof w:val="0"/>
          <w:sz w:val="24"/>
          <w:szCs w:val="24"/>
          <w:lang w:val="en-US"/>
        </w:rPr>
      </w:pPr>
      <w:r w:rsidRPr="3381CE58" w:rsidR="669A2E80">
        <w:rPr>
          <w:rFonts w:ascii="Aptos" w:hAnsi="Aptos" w:eastAsia="Aptos" w:cs="Aptos"/>
          <w:noProof w:val="0"/>
          <w:sz w:val="24"/>
          <w:szCs w:val="24"/>
          <w:lang w:val="en-US"/>
        </w:rPr>
        <w:t>Partner organizations can amplify this effort, elevate successful models and support broader recognition of nutrition as part of healthcare.</w:t>
      </w:r>
    </w:p>
    <w:p w:rsidR="3381CE58" w:rsidP="3381CE58" w:rsidRDefault="3381CE58" w14:paraId="6A6EA387" w14:textId="45FE3865">
      <w:pPr>
        <w:ind w:left="0"/>
      </w:pPr>
    </w:p>
    <w:p w:rsidRPr="002C1E53" w:rsidR="002C1E53" w:rsidP="002C1E53" w:rsidRDefault="002C1E53" w14:paraId="1EEA62B4" w14:textId="77777777">
      <w:pPr>
        <w:rPr>
          <w:b/>
          <w:bCs/>
        </w:rPr>
      </w:pPr>
      <w:r w:rsidRPr="002C1E53">
        <w:rPr>
          <w:b/>
          <w:bCs/>
        </w:rPr>
        <w:t>Suggested Newsletter Copy</w:t>
      </w:r>
    </w:p>
    <w:p w:rsidRPr="002C1E53" w:rsidR="002C1E53" w:rsidP="002C1E53" w:rsidRDefault="002C1E53" w14:paraId="20D95C99" w14:textId="77777777">
      <w:pPr>
        <w:rPr>
          <w:b/>
          <w:bCs/>
        </w:rPr>
      </w:pPr>
      <w:r w:rsidRPr="002C1E53">
        <w:rPr>
          <w:b/>
          <w:bCs/>
        </w:rPr>
        <w:t>Short Blurb</w:t>
      </w:r>
    </w:p>
    <w:p w:rsidRPr="002C1E53" w:rsidR="002C1E53" w:rsidP="002C1E53" w:rsidRDefault="002C1E53" w14:paraId="4DC21ED1" w14:textId="55DD3000">
      <w:r w:rsidRPr="002C1E53" w:rsidR="6FCFB5D3">
        <w:rPr/>
        <w:t xml:space="preserve">The Academy of Nutrition and Dietetics and </w:t>
      </w:r>
      <w:r w:rsidRPr="00FA7ACC" w:rsidR="342FD8AD">
        <w:rPr>
          <w:rFonts w:eastAsia="Times New Roman" w:cs="Times New Roman"/>
          <w:kern w:val="0"/>
          <w14:ligatures w14:val="none"/>
        </w:rPr>
        <w:t xml:space="preserve">the Accreditation Council for Education in Nutrition and Dietetics </w:t>
      </w:r>
      <w:r w:rsidR="342FD8AD">
        <w:rPr>
          <w:rFonts w:eastAsia="Times New Roman" w:cs="Times New Roman"/>
          <w:kern w:val="0"/>
          <w14:ligatures w14:val="none"/>
        </w:rPr>
        <w:t>(ACEND)</w:t>
      </w:r>
      <w:r w:rsidRPr="002C1E53" w:rsidR="6FCFB5D3">
        <w:rPr/>
        <w:t xml:space="preserve"> are working to strengthen nutrition education in medical schools by connecting medical schools with nutrition and dietetics programs, RDN educators, flexible education </w:t>
      </w:r>
      <w:r w:rsidR="6FCFB5D3">
        <w:rPr/>
        <w:t>models</w:t>
      </w:r>
      <w:r w:rsidR="6FCFB5D3">
        <w:rPr/>
        <w:t xml:space="preserve"> and practical tools. This initiative is designed to help future physicians better understand nutrition, collaborate with </w:t>
      </w:r>
      <w:r w:rsidR="6FCFB5D3">
        <w:rPr/>
        <w:t>RDNs</w:t>
      </w:r>
      <w:r w:rsidR="6FCFB5D3">
        <w:rPr/>
        <w:t xml:space="preserve"> and refer patients for specialized nutrition care when medically </w:t>
      </w:r>
      <w:r w:rsidR="6FCFB5D3">
        <w:rPr/>
        <w:t>appropriate</w:t>
      </w:r>
      <w:r w:rsidR="6FCFB5D3">
        <w:rPr/>
        <w:t xml:space="preserve">, </w:t>
      </w:r>
      <w:r w:rsidR="6FCFB5D3">
        <w:rPr/>
        <w:t>supporting improved outcomes for patients with chronic and acute diseases.</w:t>
      </w:r>
    </w:p>
    <w:p w:rsidRPr="002C1E53" w:rsidR="002C1E53" w:rsidP="002C1E53" w:rsidRDefault="002C1E53" w14:paraId="2B250B79" w14:textId="77777777">
      <w:r w:rsidRPr="002C1E53">
        <w:t xml:space="preserve">Learn more: </w:t>
      </w:r>
      <w:hyperlink w:history="1" r:id="rId5">
        <w:r w:rsidRPr="002C1E53">
          <w:rPr>
            <w:rStyle w:val="Hyperlink"/>
          </w:rPr>
          <w:t>https://www.eatright.org/everytable</w:t>
        </w:r>
      </w:hyperlink>
    </w:p>
    <w:p w:rsidRPr="002C1E53" w:rsidR="002C1E53" w:rsidP="002C1E53" w:rsidRDefault="002C1E53" w14:paraId="4735E8BD" w14:textId="77777777">
      <w:pPr>
        <w:rPr>
          <w:b/>
          <w:bCs/>
        </w:rPr>
      </w:pPr>
      <w:r w:rsidRPr="002C1E53">
        <w:rPr>
          <w:b/>
          <w:bCs/>
        </w:rPr>
        <w:t>Medical School and University Blurb</w:t>
      </w:r>
    </w:p>
    <w:p w:rsidRPr="002C1E53" w:rsidR="002C1E53" w:rsidP="002C1E53" w:rsidRDefault="002C1E53" w14:paraId="7A2E74F2" w14:textId="1B2DC3C9">
      <w:r w:rsidR="6FCFB5D3">
        <w:rPr/>
        <w:t xml:space="preserve">Medical schools play </w:t>
      </w:r>
      <w:r w:rsidR="6FCFB5D3">
        <w:rPr/>
        <w:t>an important role</w:t>
      </w:r>
      <w:r w:rsidR="6FCFB5D3">
        <w:rPr/>
        <w:t xml:space="preserve"> in preparing future physicians to understand how nutrition affects</w:t>
      </w:r>
      <w:r w:rsidR="3AADE69F">
        <w:rPr/>
        <w:t xml:space="preserve"> prevention, treatment, patient </w:t>
      </w:r>
      <w:r w:rsidR="3AADE69F">
        <w:rPr/>
        <w:t>care,</w:t>
      </w:r>
      <w:r w:rsidR="3AADE69F">
        <w:rPr/>
        <w:t xml:space="preserve"> and health outcomes, including patients with chronic and acute diseases. </w:t>
      </w:r>
      <w:r w:rsidR="6FCFB5D3">
        <w:rPr/>
        <w:t>The Academy of Nutrition and Dietetics and the Accreditation Council for Education in Nutrition and Dietetics (ACEND) are working to support medical schools by identifying flexible education models, connecting schools with nutrition and dietetics programs and elevating practical tools that keep RDN expertise, collaboration and referral at the center.</w:t>
      </w:r>
    </w:p>
    <w:p w:rsidRPr="002C1E53" w:rsidR="002C1E53" w:rsidP="002C1E53" w:rsidRDefault="002C1E53" w14:paraId="63496365" w14:textId="77777777">
      <w:r w:rsidRPr="002C1E53">
        <w:t xml:space="preserve">Learn more about the initiative and available resources: </w:t>
      </w:r>
      <w:hyperlink w:history="1" r:id="rId6">
        <w:r w:rsidRPr="002C1E53">
          <w:rPr>
            <w:rStyle w:val="Hyperlink"/>
          </w:rPr>
          <w:t>https://www.eatright.org/everytable</w:t>
        </w:r>
      </w:hyperlink>
    </w:p>
    <w:p w:rsidRPr="002C1E53" w:rsidR="002C1E53" w:rsidP="002C1E53" w:rsidRDefault="002C1E53" w14:paraId="117700B9" w14:textId="77777777">
      <w:pPr>
        <w:rPr>
          <w:b/>
          <w:bCs/>
        </w:rPr>
      </w:pPr>
      <w:r w:rsidRPr="002C1E53">
        <w:rPr>
          <w:b/>
          <w:bCs/>
        </w:rPr>
        <w:t>Healthcare Provider Blurb</w:t>
      </w:r>
    </w:p>
    <w:p w:rsidRPr="002C1E53" w:rsidR="002C1E53" w:rsidP="002C1E53" w:rsidRDefault="002C1E53" w14:paraId="1D636352" w14:textId="75169637">
      <w:r w:rsidR="6FCFB5D3">
        <w:rPr/>
        <w:t xml:space="preserve">Nutrition is an important part of prevention, </w:t>
      </w:r>
      <w:r w:rsidR="6FCFB5D3">
        <w:rPr/>
        <w:t>treatment</w:t>
      </w:r>
      <w:r w:rsidR="6FCFB5D3">
        <w:rPr/>
        <w:t xml:space="preserve"> and long-term health, </w:t>
      </w:r>
      <w:r w:rsidR="6FCFB5D3">
        <w:rPr/>
        <w:t xml:space="preserve">including care for patients with chronic and acute diseases. </w:t>
      </w:r>
      <w:r w:rsidR="6FCFB5D3">
        <w:rPr/>
        <w:t xml:space="preserve">Strengthening nutrition education in medical training can help future physicians and </w:t>
      </w:r>
      <w:r w:rsidR="167CBC01">
        <w:rPr/>
        <w:t xml:space="preserve">other </w:t>
      </w:r>
      <w:r w:rsidR="6FCFB5D3">
        <w:rPr/>
        <w:t>healthcare providers better recognize when nutrition care is needed and when to collaborate with or refer to an RDN.</w:t>
      </w:r>
    </w:p>
    <w:p w:rsidRPr="002C1E53" w:rsidR="002C1E53" w:rsidP="002C1E53" w:rsidRDefault="002C1E53" w14:paraId="08E5F76A" w14:textId="77777777">
      <w:r w:rsidRPr="002C1E53">
        <w:t xml:space="preserve">Explore resources on nutrition education, referral and team-based care: </w:t>
      </w:r>
      <w:hyperlink w:history="1" r:id="rId7">
        <w:r w:rsidRPr="002C1E53">
          <w:rPr>
            <w:rStyle w:val="Hyperlink"/>
          </w:rPr>
          <w:t>https://www.eatright.org/everytable</w:t>
        </w:r>
      </w:hyperlink>
    </w:p>
    <w:p w:rsidRPr="002C1E53" w:rsidR="002C1E53" w:rsidP="002C1E53" w:rsidRDefault="002C1E53" w14:paraId="795160F1" w14:textId="77777777">
      <w:pPr>
        <w:rPr>
          <w:b/>
          <w:bCs/>
        </w:rPr>
      </w:pPr>
      <w:r w:rsidRPr="002C1E53">
        <w:rPr>
          <w:b/>
          <w:bCs/>
        </w:rPr>
        <w:t>Partner Organization Blurb</w:t>
      </w:r>
    </w:p>
    <w:p w:rsidRPr="00094DCD" w:rsidR="002C1E53" w:rsidP="002C1E53" w:rsidRDefault="002C1E53" w14:paraId="4200E9AC" w14:textId="77777777">
      <w:r w:rsidRPr="002C1E53">
        <w:t xml:space="preserve">The Academy of Nutrition and Dietetics and the Accreditation Council for Education in Nutrition and Dietetics (ACEND) are advancing an effort to strengthen nutrition education in medical schools and health professions training. This work supports stronger collaboration across healthcare teams by helping future providers better understand nutrition, recognize the role of RDNs and refer patients for specialized nutrition care when medically appropriate. </w:t>
      </w:r>
      <w:r w:rsidRPr="00094DCD">
        <w:t>These referrals can help patients access evidence-based nutrition care that supports improved outcomes across chronic and acute disease prevention and management.</w:t>
      </w:r>
    </w:p>
    <w:p w:rsidRPr="002C1E53" w:rsidR="002C1E53" w:rsidP="002C1E53" w:rsidRDefault="002C1E53" w14:paraId="38114985" w14:textId="77777777">
      <w:r w:rsidRPr="002C1E53">
        <w:t>Partners and stakeholders can help amplify this effort and support broader recognition of nutrition as part of healthcare.</w:t>
      </w:r>
    </w:p>
    <w:p w:rsidRPr="002C1E53" w:rsidR="002C1E53" w:rsidP="002C1E53" w:rsidRDefault="002C1E53" w14:paraId="0A3E4B96" w14:textId="77777777">
      <w:r w:rsidRPr="002C1E53">
        <w:t xml:space="preserve">Learn more: </w:t>
      </w:r>
      <w:hyperlink w:history="1" r:id="rId8">
        <w:r w:rsidRPr="002C1E53">
          <w:rPr>
            <w:rStyle w:val="Hyperlink"/>
          </w:rPr>
          <w:t>https://www.eatright.org/everytable</w:t>
        </w:r>
      </w:hyperlink>
    </w:p>
    <w:p w:rsidRPr="002C1E53" w:rsidR="002C1E53" w:rsidP="002C1E53" w:rsidRDefault="002C1E53" w14:paraId="12E66BEC" w14:textId="77777777">
      <w:pPr>
        <w:rPr>
          <w:b/>
          <w:bCs/>
        </w:rPr>
      </w:pPr>
      <w:r w:rsidRPr="002C1E53">
        <w:rPr>
          <w:b/>
          <w:bCs/>
        </w:rPr>
        <w:t>Suggested Email Copy</w:t>
      </w:r>
    </w:p>
    <w:p w:rsidRPr="002C1E53" w:rsidR="002C1E53" w:rsidP="002C1E53" w:rsidRDefault="002C1E53" w14:paraId="55564B6D" w14:textId="77777777">
      <w:r w:rsidRPr="002C1E53">
        <w:t>The Academy of Nutrition and Dietetics and the Accreditation Council for Education in Nutrition and Dietetics (ACEND) are working to help strengthen nutrition education in medical schools and health professions training.</w:t>
      </w:r>
    </w:p>
    <w:p w:rsidRPr="004D58FC" w:rsidR="002C1E53" w:rsidP="002C1E53" w:rsidRDefault="002C1E53" w14:paraId="6A98727B" w14:textId="77777777">
      <w:r w:rsidRPr="002C1E53">
        <w:t xml:space="preserve">This initiative is focused on helping future physicians and other healthcare providers better understand the role of nutrition in patient care, collaborate with RDNs and refer patients for specialized nutrition care when medically appropriate. </w:t>
      </w:r>
      <w:r w:rsidRPr="004D58FC">
        <w:t>Strengthening these referral pathways can help patients access evidence-based nutrition care that supports improved outcomes in the prevention and management of chronic and acute diseases.</w:t>
      </w:r>
    </w:p>
    <w:p w:rsidRPr="002C1E53" w:rsidR="002C1E53" w:rsidP="002C1E53" w:rsidRDefault="002C1E53" w14:paraId="756CC95F" w14:textId="77777777">
      <w:r w:rsidRPr="002C1E53">
        <w:t>Medical schools do not need to start from scratch. Nutrition and dietetics programs already have faculty expertise, evidence-based curriculum, applied learning models and practical tools that can support flexible approaches to nutrition education.</w:t>
      </w:r>
    </w:p>
    <w:p w:rsidRPr="002C1E53" w:rsidR="002C1E53" w:rsidP="002C1E53" w:rsidRDefault="002C1E53" w14:paraId="697648E8" w14:textId="77777777">
      <w:r w:rsidRPr="002C1E53">
        <w:t xml:space="preserve">Explore resources, implementation models and ways to get involved: </w:t>
      </w:r>
      <w:hyperlink w:history="1" r:id="rId9">
        <w:r w:rsidRPr="002C1E53">
          <w:rPr>
            <w:rStyle w:val="Hyperlink"/>
          </w:rPr>
          <w:t>https://www.eatright.org/everytable</w:t>
        </w:r>
      </w:hyperlink>
    </w:p>
    <w:p w:rsidRPr="002C1E53" w:rsidR="002C1E53" w:rsidP="002C1E53" w:rsidRDefault="002C1E53" w14:paraId="79D7CECF" w14:textId="77777777">
      <w:pPr>
        <w:rPr>
          <w:b/>
          <w:bCs/>
        </w:rPr>
      </w:pPr>
      <w:r w:rsidRPr="002C1E53">
        <w:rPr>
          <w:b/>
          <w:bCs/>
        </w:rPr>
        <w:t>Suggested Website Copy for Partners</w:t>
      </w:r>
    </w:p>
    <w:p w:rsidRPr="002C1E53" w:rsidR="002C1E53" w:rsidP="002C1E53" w:rsidRDefault="002C1E53" w14:paraId="6725D5EE" w14:textId="77777777">
      <w:r w:rsidRPr="002C1E53">
        <w:t>The Academy of Nutrition and Dietetics and the Accreditation Council for Education in Nutrition and Dietetics (ACEND) are working to help strengthen nutrition education in medical schools by connecting medical schools with nutrition and dietetics programs, RDN educators, flexible education models and practical tools.</w:t>
      </w:r>
    </w:p>
    <w:p w:rsidRPr="002C1E53" w:rsidR="002C1E53" w:rsidP="002C1E53" w:rsidRDefault="002C1E53" w14:paraId="318CF9AF" w14:textId="77777777">
      <w:r w:rsidRPr="002C1E53">
        <w:t xml:space="preserve">This initiative is about collaboration and referral, not replacing RDN expertise. By helping future physicians better understand nutrition and the role of RDNs, this work can support stronger healthcare teams, more appropriate referrals and better access to specialized nutrition care. </w:t>
      </w:r>
      <w:r w:rsidRPr="004D58FC">
        <w:t>That care is especially important for patients managing chronic and acute diseases, where evidence-based nutrition interventions can help improve health outcomes.</w:t>
      </w:r>
    </w:p>
    <w:p w:rsidRPr="002C1E53" w:rsidR="002C1E53" w:rsidP="002C1E53" w:rsidRDefault="002C1E53" w14:paraId="08536979" w14:textId="77777777">
      <w:r w:rsidRPr="002C1E53">
        <w:t xml:space="preserve">Learn more: </w:t>
      </w:r>
      <w:hyperlink w:history="1" r:id="rId10">
        <w:r w:rsidRPr="002C1E53">
          <w:rPr>
            <w:rStyle w:val="Hyperlink"/>
          </w:rPr>
          <w:t>https://www.eatright.org/everytable</w:t>
        </w:r>
      </w:hyperlink>
    </w:p>
    <w:p w:rsidR="006C2FE5" w:rsidRDefault="006C2FE5" w14:paraId="3EB5BC8A" w14:textId="77777777"/>
    <w:sectPr w:rsidR="006C2FE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
    <w:nsid w:val="232900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a794b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d17c5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C7205AD"/>
    <w:multiLevelType w:val="multilevel"/>
    <w:tmpl w:val="DC4038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32E5AF1"/>
    <w:multiLevelType w:val="multilevel"/>
    <w:tmpl w:val="37D08A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A070AC1"/>
    <w:multiLevelType w:val="multilevel"/>
    <w:tmpl w:val="768C7E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AB56A7E"/>
    <w:multiLevelType w:val="multilevel"/>
    <w:tmpl w:val="874E27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0F95D40"/>
    <w:multiLevelType w:val="multilevel"/>
    <w:tmpl w:val="4CDAA1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6FF6FF9"/>
    <w:multiLevelType w:val="multilevel"/>
    <w:tmpl w:val="D3AAA4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76E14FB"/>
    <w:multiLevelType w:val="multilevel"/>
    <w:tmpl w:val="464E9D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61D6E08"/>
    <w:multiLevelType w:val="multilevel"/>
    <w:tmpl w:val="0D70D8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942622E"/>
    <w:multiLevelType w:val="multilevel"/>
    <w:tmpl w:val="8A58EF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07F06DD"/>
    <w:multiLevelType w:val="multilevel"/>
    <w:tmpl w:val="DBF86B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AA570CA"/>
    <w:multiLevelType w:val="multilevel"/>
    <w:tmpl w:val="8BE8E8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4">
    <w:abstractNumId w:val="13"/>
  </w:num>
  <w:num w:numId="13">
    <w:abstractNumId w:val="12"/>
  </w:num>
  <w:num w:numId="12">
    <w:abstractNumId w:val="11"/>
  </w:num>
  <w:num w:numId="1" w16cid:durableId="1061757180">
    <w:abstractNumId w:val="8"/>
  </w:num>
  <w:num w:numId="2" w16cid:durableId="1072385442">
    <w:abstractNumId w:val="6"/>
  </w:num>
  <w:num w:numId="3" w16cid:durableId="1249461091">
    <w:abstractNumId w:val="5"/>
  </w:num>
  <w:num w:numId="4" w16cid:durableId="1899826228">
    <w:abstractNumId w:val="1"/>
  </w:num>
  <w:num w:numId="5" w16cid:durableId="194974796">
    <w:abstractNumId w:val="3"/>
  </w:num>
  <w:num w:numId="6" w16cid:durableId="2028674367">
    <w:abstractNumId w:val="4"/>
  </w:num>
  <w:num w:numId="7" w16cid:durableId="236944733">
    <w:abstractNumId w:val="9"/>
  </w:num>
  <w:num w:numId="8" w16cid:durableId="483550610">
    <w:abstractNumId w:val="2"/>
  </w:num>
  <w:num w:numId="9" w16cid:durableId="661273618">
    <w:abstractNumId w:val="0"/>
  </w:num>
  <w:num w:numId="10" w16cid:durableId="876427490">
    <w:abstractNumId w:val="7"/>
  </w:num>
  <w:num w:numId="11" w16cid:durableId="8884143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D63"/>
    <w:rsid w:val="00042BFA"/>
    <w:rsid w:val="000777D5"/>
    <w:rsid w:val="00094DCD"/>
    <w:rsid w:val="000B5BEC"/>
    <w:rsid w:val="001A5A00"/>
    <w:rsid w:val="00202ED1"/>
    <w:rsid w:val="002845B6"/>
    <w:rsid w:val="002C1E53"/>
    <w:rsid w:val="00343960"/>
    <w:rsid w:val="003C75E6"/>
    <w:rsid w:val="00413719"/>
    <w:rsid w:val="004947E7"/>
    <w:rsid w:val="004D58FC"/>
    <w:rsid w:val="004E6B51"/>
    <w:rsid w:val="0057373B"/>
    <w:rsid w:val="005A253E"/>
    <w:rsid w:val="006C2FE5"/>
    <w:rsid w:val="007443D8"/>
    <w:rsid w:val="00830278"/>
    <w:rsid w:val="00845B86"/>
    <w:rsid w:val="009950E9"/>
    <w:rsid w:val="009F5D63"/>
    <w:rsid w:val="00A711BF"/>
    <w:rsid w:val="00A82503"/>
    <w:rsid w:val="00B80497"/>
    <w:rsid w:val="00BB0568"/>
    <w:rsid w:val="00C1592B"/>
    <w:rsid w:val="00CA219A"/>
    <w:rsid w:val="00CD4EEB"/>
    <w:rsid w:val="00D57D19"/>
    <w:rsid w:val="00D777FD"/>
    <w:rsid w:val="00E10FC1"/>
    <w:rsid w:val="00EB0742"/>
    <w:rsid w:val="00F81CF5"/>
    <w:rsid w:val="02999293"/>
    <w:rsid w:val="058BCA48"/>
    <w:rsid w:val="090B391C"/>
    <w:rsid w:val="167CBC01"/>
    <w:rsid w:val="1739E90E"/>
    <w:rsid w:val="17A06A37"/>
    <w:rsid w:val="1ED4851A"/>
    <w:rsid w:val="22991458"/>
    <w:rsid w:val="23776E3A"/>
    <w:rsid w:val="3381CE58"/>
    <w:rsid w:val="342FD8AD"/>
    <w:rsid w:val="3AADE69F"/>
    <w:rsid w:val="458785BE"/>
    <w:rsid w:val="507FB55B"/>
    <w:rsid w:val="52C3D098"/>
    <w:rsid w:val="669A2E80"/>
    <w:rsid w:val="6FCFB5D3"/>
    <w:rsid w:val="7E4417AE"/>
    <w:rsid w:val="7EDC42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89A31EF"/>
  <w15:chartTrackingRefBased/>
  <w15:docId w15:val="{1BEED535-4E73-429E-B0F7-8D9C623FE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F5D6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5D6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5D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D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5D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D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D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D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D6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F5D6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9F5D6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F5D6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F5D6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F5D6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F5D6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F5D6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F5D6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F5D63"/>
    <w:rPr>
      <w:rFonts w:eastAsiaTheme="majorEastAsia" w:cstheme="majorBidi"/>
      <w:color w:val="272727" w:themeColor="text1" w:themeTint="D8"/>
    </w:rPr>
  </w:style>
  <w:style w:type="paragraph" w:styleId="Title">
    <w:name w:val="Title"/>
    <w:basedOn w:val="Normal"/>
    <w:next w:val="Normal"/>
    <w:link w:val="TitleChar"/>
    <w:uiPriority w:val="10"/>
    <w:qFormat/>
    <w:rsid w:val="009F5D6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F5D6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F5D6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F5D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D63"/>
    <w:pPr>
      <w:spacing w:before="160"/>
      <w:jc w:val="center"/>
    </w:pPr>
    <w:rPr>
      <w:i/>
      <w:iCs/>
      <w:color w:val="404040" w:themeColor="text1" w:themeTint="BF"/>
    </w:rPr>
  </w:style>
  <w:style w:type="character" w:styleId="QuoteChar" w:customStyle="1">
    <w:name w:val="Quote Char"/>
    <w:basedOn w:val="DefaultParagraphFont"/>
    <w:link w:val="Quote"/>
    <w:uiPriority w:val="29"/>
    <w:rsid w:val="009F5D63"/>
    <w:rPr>
      <w:i/>
      <w:iCs/>
      <w:color w:val="404040" w:themeColor="text1" w:themeTint="BF"/>
    </w:rPr>
  </w:style>
  <w:style w:type="paragraph" w:styleId="ListParagraph">
    <w:name w:val="List Paragraph"/>
    <w:basedOn w:val="Normal"/>
    <w:uiPriority w:val="34"/>
    <w:qFormat/>
    <w:rsid w:val="009F5D63"/>
    <w:pPr>
      <w:ind w:left="720"/>
      <w:contextualSpacing/>
    </w:pPr>
  </w:style>
  <w:style w:type="character" w:styleId="IntenseEmphasis">
    <w:name w:val="Intense Emphasis"/>
    <w:basedOn w:val="DefaultParagraphFont"/>
    <w:uiPriority w:val="21"/>
    <w:qFormat/>
    <w:rsid w:val="009F5D63"/>
    <w:rPr>
      <w:i/>
      <w:iCs/>
      <w:color w:val="0F4761" w:themeColor="accent1" w:themeShade="BF"/>
    </w:rPr>
  </w:style>
  <w:style w:type="paragraph" w:styleId="IntenseQuote">
    <w:name w:val="Intense Quote"/>
    <w:basedOn w:val="Normal"/>
    <w:next w:val="Normal"/>
    <w:link w:val="IntenseQuoteChar"/>
    <w:uiPriority w:val="30"/>
    <w:qFormat/>
    <w:rsid w:val="009F5D6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F5D63"/>
    <w:rPr>
      <w:i/>
      <w:iCs/>
      <w:color w:val="0F4761" w:themeColor="accent1" w:themeShade="BF"/>
    </w:rPr>
  </w:style>
  <w:style w:type="character" w:styleId="IntenseReference">
    <w:name w:val="Intense Reference"/>
    <w:basedOn w:val="DefaultParagraphFont"/>
    <w:uiPriority w:val="32"/>
    <w:qFormat/>
    <w:rsid w:val="009F5D63"/>
    <w:rPr>
      <w:b/>
      <w:bCs/>
      <w:smallCaps/>
      <w:color w:val="0F4761" w:themeColor="accent1" w:themeShade="BF"/>
      <w:spacing w:val="5"/>
    </w:rPr>
  </w:style>
  <w:style w:type="character" w:styleId="Hyperlink">
    <w:name w:val="Hyperlink"/>
    <w:basedOn w:val="DefaultParagraphFont"/>
    <w:uiPriority w:val="99"/>
    <w:unhideWhenUsed/>
    <w:rsid w:val="009F5D63"/>
    <w:rPr>
      <w:color w:val="467886" w:themeColor="hyperlink"/>
      <w:u w:val="single"/>
    </w:rPr>
  </w:style>
  <w:style w:type="character" w:styleId="UnresolvedMention">
    <w:name w:val="Unresolved Mention"/>
    <w:basedOn w:val="DefaultParagraphFont"/>
    <w:uiPriority w:val="99"/>
    <w:semiHidden/>
    <w:unhideWhenUsed/>
    <w:rsid w:val="009F5D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atright.org/everytable" TargetMode="External" Id="rId8" /><Relationship Type="http://schemas.openxmlformats.org/officeDocument/2006/relationships/settings" Target="settings.xml" Id="rId3" /><Relationship Type="http://schemas.openxmlformats.org/officeDocument/2006/relationships/hyperlink" Target="https://www.eatright.org/everytable"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eatright.org/everytable" TargetMode="External" Id="rId6" /><Relationship Type="http://schemas.openxmlformats.org/officeDocument/2006/relationships/fontTable" Target="fontTable.xml" Id="rId11" /><Relationship Type="http://schemas.openxmlformats.org/officeDocument/2006/relationships/hyperlink" Target="https://www.eatright.org/everytable" TargetMode="External" Id="rId5" /><Relationship Type="http://schemas.openxmlformats.org/officeDocument/2006/relationships/hyperlink" Target="https://www.eatright.org/everytable" TargetMode="External" Id="rId10" /><Relationship Type="http://schemas.openxmlformats.org/officeDocument/2006/relationships/webSettings" Target="webSettings.xml" Id="rId4" /><Relationship Type="http://schemas.openxmlformats.org/officeDocument/2006/relationships/hyperlink" Target="https://www.eatright.org/everytable"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Mike Zande</dc:creator>
  <keywords/>
  <dc:description/>
  <lastModifiedBy>Mike Zande</lastModifiedBy>
  <revision>19</revision>
  <dcterms:created xsi:type="dcterms:W3CDTF">2026-08-05T15:01:00.0000000Z</dcterms:created>
  <dcterms:modified xsi:type="dcterms:W3CDTF">2026-08-17T15:00:28.4014900Z</dcterms:modified>
</coreProperties>
</file>