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6E396" w14:textId="20FC0D34" w:rsidR="00820A9C" w:rsidRPr="009E600A" w:rsidRDefault="00820A9C" w:rsidP="002D6085">
      <w:pPr>
        <w:snapToGrid w:val="0"/>
        <w:spacing w:afterLines="120" w:after="288" w:line="240" w:lineRule="auto"/>
        <w:ind w:left="360"/>
        <w:rPr>
          <w:b/>
          <w:bCs/>
        </w:rPr>
      </w:pPr>
      <w:r w:rsidRPr="009E600A">
        <w:rPr>
          <w:b/>
          <w:bCs/>
        </w:rPr>
        <w:t xml:space="preserve">Health Insurance </w:t>
      </w:r>
      <w:r w:rsidR="005168ED" w:rsidRPr="009E600A">
        <w:rPr>
          <w:b/>
          <w:bCs/>
        </w:rPr>
        <w:t>Basics</w:t>
      </w:r>
      <w:r w:rsidR="002D6085" w:rsidRPr="009E600A">
        <w:rPr>
          <w:b/>
          <w:bCs/>
        </w:rPr>
        <w:t xml:space="preserve"> </w:t>
      </w:r>
    </w:p>
    <w:p w14:paraId="41120A1C" w14:textId="23733308" w:rsidR="005168ED" w:rsidRDefault="005168ED" w:rsidP="00E960D0">
      <w:pPr>
        <w:snapToGrid w:val="0"/>
        <w:spacing w:afterLines="120" w:after="288" w:line="240" w:lineRule="auto"/>
        <w:ind w:left="360"/>
      </w:pPr>
      <w:r w:rsidRPr="005168ED">
        <w:rPr>
          <w:b/>
          <w:bCs/>
        </w:rPr>
        <w:t>INTRO SLIDE:</w:t>
      </w:r>
      <w:r>
        <w:t xml:space="preserve"> </w:t>
      </w:r>
      <w:r w:rsidRPr="005168ED">
        <w:t xml:space="preserve">Welcome to Health Insurance Basics presentation in the Power of Payment series. Health insurance is an important payment stream for </w:t>
      </w:r>
      <w:r w:rsidR="009E600A">
        <w:t>RDNs</w:t>
      </w:r>
      <w:r w:rsidRPr="005168ED">
        <w:t xml:space="preserve"> providing medical nutrition therapy in practices and organizations</w:t>
      </w:r>
      <w:r w:rsidR="00AE6AE4" w:rsidRPr="00AE6AE4">
        <w:t xml:space="preserve">. </w:t>
      </w:r>
    </w:p>
    <w:p w14:paraId="1883E476" w14:textId="15BD8870" w:rsidR="005168ED" w:rsidRDefault="005168ED" w:rsidP="00E960D0">
      <w:pPr>
        <w:snapToGrid w:val="0"/>
        <w:spacing w:afterLines="120" w:after="288" w:line="240" w:lineRule="auto"/>
        <w:ind w:left="360"/>
      </w:pPr>
      <w:r w:rsidRPr="002D6085">
        <w:rPr>
          <w:b/>
          <w:bCs/>
        </w:rPr>
        <w:t>SLIDE 1:</w:t>
      </w:r>
      <w:r>
        <w:t xml:space="preserve"> </w:t>
      </w:r>
      <w:r w:rsidRPr="005168ED">
        <w:t>Understanding how health insurance works is important</w:t>
      </w:r>
      <w:r w:rsidR="00E960D0">
        <w:t>, e</w:t>
      </w:r>
      <w:r w:rsidRPr="005168ED">
        <w:t xml:space="preserve">ven in cases where you may not be directly involved in the claims and billing aspect. Capturing payments from health insurance payers when individuals have benefits for </w:t>
      </w:r>
      <w:r w:rsidR="00E960D0">
        <w:t>M</w:t>
      </w:r>
      <w:r w:rsidRPr="005168ED">
        <w:t xml:space="preserve">edical </w:t>
      </w:r>
      <w:r w:rsidR="00E960D0">
        <w:t>N</w:t>
      </w:r>
      <w:r w:rsidRPr="005168ED">
        <w:t xml:space="preserve">utrition </w:t>
      </w:r>
      <w:r w:rsidR="00E960D0">
        <w:t>T</w:t>
      </w:r>
      <w:r w:rsidRPr="005168ED">
        <w:t xml:space="preserve">herapy is critical to an organization’s bottom line, and to ensuring that services provided by </w:t>
      </w:r>
      <w:r w:rsidR="009E600A">
        <w:t>RDNs</w:t>
      </w:r>
      <w:r w:rsidRPr="005168ED">
        <w:t xml:space="preserve"> are financially sustainable. </w:t>
      </w:r>
    </w:p>
    <w:p w14:paraId="6E5500D3" w14:textId="45E99E1D" w:rsidR="00AE6AE4" w:rsidRPr="00AE6AE4" w:rsidRDefault="00E960D0" w:rsidP="00E960D0">
      <w:pPr>
        <w:snapToGrid w:val="0"/>
        <w:spacing w:afterLines="120" w:after="288" w:line="240" w:lineRule="auto"/>
        <w:ind w:left="360"/>
      </w:pPr>
      <w:r w:rsidRPr="002D6085">
        <w:rPr>
          <w:b/>
          <w:bCs/>
        </w:rPr>
        <w:t>SLIDE 2:</w:t>
      </w:r>
      <w:r>
        <w:t xml:space="preserve"> </w:t>
      </w:r>
      <w:r w:rsidR="00AE6AE4" w:rsidRPr="00AE6AE4">
        <w:t xml:space="preserve">This </w:t>
      </w:r>
      <w:r w:rsidR="005168ED">
        <w:t xml:space="preserve">presentation </w:t>
      </w:r>
      <w:r w:rsidR="00AE6AE4" w:rsidRPr="00AE6AE4">
        <w:t>is about the multiple health insurance related variables that influence the possibility of payment. This image implies the basic concept of “reimbursement” that is associated with the fee for service payment model.</w:t>
      </w:r>
      <w:r w:rsidR="005C7D66">
        <w:t xml:space="preserve"> </w:t>
      </w:r>
      <w:r w:rsidR="00AE6AE4" w:rsidRPr="00AE6AE4">
        <w:t>Fee for services is one payment model used to pay for health care services, including MNT.</w:t>
      </w:r>
      <w:r w:rsidR="005C7D66">
        <w:t xml:space="preserve"> </w:t>
      </w:r>
      <w:r w:rsidR="00AE6AE4" w:rsidRPr="00AE6AE4">
        <w:t xml:space="preserve">How payments are realized is a little more nuanced. Having a solid understanding of insurance terminology, concepts, and policies is critical to knowing whether there is payment available, and how to secure it. </w:t>
      </w:r>
    </w:p>
    <w:p w14:paraId="230AA6EB" w14:textId="6EBDD8D3" w:rsidR="00AE6AE4" w:rsidRPr="00AE6AE4" w:rsidRDefault="00E960D0" w:rsidP="00757D41">
      <w:pPr>
        <w:snapToGrid w:val="0"/>
        <w:spacing w:afterLines="120" w:after="288" w:line="240" w:lineRule="auto"/>
        <w:ind w:left="360"/>
      </w:pPr>
      <w:r w:rsidRPr="002D6085">
        <w:rPr>
          <w:b/>
          <w:bCs/>
        </w:rPr>
        <w:t>SLIDE 3:</w:t>
      </w:r>
      <w:r>
        <w:t xml:space="preserve"> </w:t>
      </w:r>
      <w:r w:rsidR="00AE6AE4" w:rsidRPr="00AE6AE4">
        <w:t xml:space="preserve">Payment from health insurance is dependent on the alignment of several factors, and </w:t>
      </w:r>
      <w:r w:rsidR="00AE6AE4" w:rsidRPr="00757D41">
        <w:t xml:space="preserve">for each client or patient. </w:t>
      </w:r>
      <w:r w:rsidR="00AE6AE4" w:rsidRPr="00AE6AE4">
        <w:t>First, an individual must have benefits for MNT as part of their health insurance policy</w:t>
      </w:r>
      <w:r w:rsidR="00757D41">
        <w:t>;</w:t>
      </w:r>
      <w:r w:rsidR="00AE6AE4" w:rsidRPr="00AE6AE4">
        <w:t xml:space="preserve"> coverage for the MNT for the individual’s condition or health status</w:t>
      </w:r>
      <w:r w:rsidR="00757D41">
        <w:t>;</w:t>
      </w:r>
      <w:r w:rsidR="00AE6AE4" w:rsidRPr="00AE6AE4">
        <w:t xml:space="preserve"> and either the RDN must be in-</w:t>
      </w:r>
      <w:proofErr w:type="gramStart"/>
      <w:r w:rsidR="00AE6AE4" w:rsidRPr="00AE6AE4">
        <w:t>network</w:t>
      </w:r>
      <w:proofErr w:type="gramEnd"/>
      <w:r w:rsidR="00757D41">
        <w:t xml:space="preserve"> </w:t>
      </w:r>
      <w:r w:rsidR="00AE6AE4" w:rsidRPr="00AE6AE4">
        <w:t xml:space="preserve">or the individual must have some coverage for the service with an out of network provider. And furthermore, if the MNT is being provided via telehealth, then the coverage must also include when the MNT is provided via telehealth. We will take a deeper look at these important factors. </w:t>
      </w:r>
    </w:p>
    <w:p w14:paraId="24A937D2" w14:textId="3DA5AEE0" w:rsidR="00AE6AE4" w:rsidRDefault="00757D41" w:rsidP="00E960D0">
      <w:pPr>
        <w:snapToGrid w:val="0"/>
        <w:spacing w:afterLines="120" w:after="288" w:line="240" w:lineRule="auto"/>
        <w:ind w:left="360"/>
      </w:pPr>
      <w:r w:rsidRPr="00757D41">
        <w:rPr>
          <w:b/>
          <w:bCs/>
        </w:rPr>
        <w:t>SLIDE 4:</w:t>
      </w:r>
      <w:r>
        <w:t xml:space="preserve"> </w:t>
      </w:r>
      <w:r w:rsidR="00AE6AE4" w:rsidRPr="00AE6AE4">
        <w:t>There are many different types of health insurance in the US, which is part of the reason why getting a handle how payments work can be daunting.</w:t>
      </w:r>
      <w:r w:rsidR="005C7D66">
        <w:t xml:space="preserve"> </w:t>
      </w:r>
      <w:r w:rsidR="00AE6AE4" w:rsidRPr="00AE6AE4">
        <w:t>We will also take a close look at some of the big buckets of insurance.</w:t>
      </w:r>
    </w:p>
    <w:p w14:paraId="783EACB2" w14:textId="4D85D190" w:rsidR="00757D41" w:rsidRDefault="00757D41" w:rsidP="00757D41">
      <w:pPr>
        <w:snapToGrid w:val="0"/>
        <w:spacing w:afterLines="120" w:after="288" w:line="240" w:lineRule="auto"/>
        <w:ind w:left="360"/>
      </w:pPr>
      <w:r w:rsidRPr="00757D41">
        <w:rPr>
          <w:b/>
          <w:bCs/>
        </w:rPr>
        <w:t>SLIDE 5:</w:t>
      </w:r>
      <w:r>
        <w:t xml:space="preserve"> </w:t>
      </w:r>
      <w:r w:rsidR="00AE6AE4" w:rsidRPr="00AE6AE4">
        <w:t>Understanding how individuals obtain health insurance provides some insight into why there are so many different flavors of health insurance and variation in benefits and coverage for health care services, including MNT.</w:t>
      </w:r>
      <w:r w:rsidR="005C7D66">
        <w:t xml:space="preserve"> </w:t>
      </w:r>
      <w:r w:rsidR="00AE6AE4" w:rsidRPr="00AE6AE4">
        <w:t>There are several “p” words to understand: purchasers, payers, products or plan types, and policies.</w:t>
      </w:r>
      <w:r w:rsidR="005C7D66">
        <w:t xml:space="preserve"> </w:t>
      </w:r>
      <w:r w:rsidR="00AE6AE4" w:rsidRPr="00AE6AE4">
        <w:t xml:space="preserve">Some of the terms have different meanings depending on the context. </w:t>
      </w:r>
    </w:p>
    <w:p w14:paraId="7FDD8A38" w14:textId="2FE35264" w:rsidR="00757D41" w:rsidRDefault="00757D41" w:rsidP="00757D41">
      <w:pPr>
        <w:snapToGrid w:val="0"/>
        <w:spacing w:afterLines="120" w:after="288" w:line="240" w:lineRule="auto"/>
        <w:ind w:left="360"/>
      </w:pPr>
      <w:r w:rsidRPr="00757D41">
        <w:rPr>
          <w:b/>
          <w:bCs/>
        </w:rPr>
        <w:t>SLIDE 6:</w:t>
      </w:r>
      <w:r>
        <w:t xml:space="preserve"> </w:t>
      </w:r>
      <w:r w:rsidR="00AE6AE4" w:rsidRPr="00AE6AE4">
        <w:t>There are many purchasers or sponsors of health insurance. The federal government is both a purchaser and a sponsor of health insurance. It purchases health insurance for federal employees and their dependents. It is also the sponsor of the Medicare Program and some other federal programs.</w:t>
      </w:r>
      <w:r>
        <w:t xml:space="preserve"> </w:t>
      </w:r>
      <w:r w:rsidR="00AE6AE4" w:rsidRPr="00AE6AE4">
        <w:t>Almost half of people with health insurance obtain health insurance through their employer, or a family member’s employer. Employers purchase health insurance products from health insurance companies or they can construct their own health benefits packages. There is a premium for the health insurance, for which the employer typically subsidizes some of the cost. Employees also contribute to the cost of the monthly premium for the health insurance.</w:t>
      </w:r>
      <w:r>
        <w:t xml:space="preserve"> There are several types of purchasers of health insurance. </w:t>
      </w:r>
      <w:r w:rsidR="00AE6AE4" w:rsidRPr="00AE6AE4">
        <w:t>Individuals who are unable to obtain insurance through an employer may be able to purchase insurance policies for themselves and their families through their state health insurance marketplace, or health insurance exchanges. Individual</w:t>
      </w:r>
      <w:r>
        <w:t>s</w:t>
      </w:r>
      <w:r w:rsidR="00AE6AE4" w:rsidRPr="00AE6AE4">
        <w:t xml:space="preserve"> may also purchase health insurance outside of the exchanges, directly from insurance providers, or through a broker. </w:t>
      </w:r>
    </w:p>
    <w:p w14:paraId="10E9E03A" w14:textId="2D0724AB" w:rsidR="00AE6AE4" w:rsidRPr="00AE6AE4" w:rsidRDefault="00757D41" w:rsidP="00757D41">
      <w:pPr>
        <w:snapToGrid w:val="0"/>
        <w:spacing w:afterLines="120" w:after="288" w:line="240" w:lineRule="auto"/>
        <w:ind w:left="360"/>
      </w:pPr>
      <w:r>
        <w:rPr>
          <w:b/>
          <w:bCs/>
        </w:rPr>
        <w:t>SLIDE 7:</w:t>
      </w:r>
      <w:r>
        <w:t xml:space="preserve"> </w:t>
      </w:r>
      <w:r w:rsidR="00AE6AE4" w:rsidRPr="00AE6AE4">
        <w:t>There are several different providers of health insurance, which includes private health insurance companies and government insurers.</w:t>
      </w:r>
      <w:r w:rsidR="005C7D66">
        <w:t xml:space="preserve"> </w:t>
      </w:r>
      <w:r w:rsidR="00AE6AE4" w:rsidRPr="00AE6AE4">
        <w:t xml:space="preserve">Health insurance companies are commonly referred to as payers. Some examples of health insurance companies might include United HealthCare, Aetna, Humana, Blue Cross &amp; Blue Shield Associations, </w:t>
      </w:r>
      <w:proofErr w:type="gramStart"/>
      <w:r w:rsidR="00AE6AE4" w:rsidRPr="00AE6AE4">
        <w:t>Cigna</w:t>
      </w:r>
      <w:proofErr w:type="gramEnd"/>
      <w:r w:rsidR="00AE6AE4" w:rsidRPr="00AE6AE4">
        <w:t xml:space="preserve"> and Kaiser Permanente. All health insurance companies are payers, but not all payers are health insurance companies. </w:t>
      </w:r>
    </w:p>
    <w:p w14:paraId="29227075" w14:textId="25E45AFF" w:rsidR="00757D41" w:rsidRDefault="00757D41" w:rsidP="00757D41">
      <w:pPr>
        <w:snapToGrid w:val="0"/>
        <w:spacing w:afterLines="120" w:after="288" w:line="240" w:lineRule="auto"/>
        <w:ind w:left="360"/>
      </w:pPr>
      <w:r w:rsidRPr="00757D41">
        <w:rPr>
          <w:b/>
          <w:bCs/>
        </w:rPr>
        <w:lastRenderedPageBreak/>
        <w:t>SLIDE 8:</w:t>
      </w:r>
      <w:r>
        <w:t xml:space="preserve"> </w:t>
      </w:r>
      <w:r w:rsidR="00CD2B0D" w:rsidRPr="00CD2B0D">
        <w:t>Let’s take a closer look at government sponsored health insurance, beginning with Medicare. Individuals 65 and older are eligible to purchase health insurance through the Medicare Program. They must actively enroll and pay monthly premiums. People younger than 65 with qualifying disabilities may be eligible to enroll in Medicare. Medicare beneficiaries can access care and services with Medicare providers throughout the healthcare system. There are different types of Medicare products, which will be reviewed in greater detail. Medicaid health insurance is for persons with low income and some specific populations. Federal law requires states to cover certain groups of individuals, including persons with low income, qualified pregnant women and children, and individuals receiving Supplemental Security Income (SSI) are examples of mandatory eligible groups. It is jointly funded by the federal government and state governments. Medicaid looks different in each state. The Children's Health Insurance Program (CHIP) is funded jointly by the federal government and states. It is for individuals younger than 19 years of age who do not qualify for Medicaid or are not covered through a group plan or other health insurance.</w:t>
      </w:r>
      <w:r w:rsidR="005C7D66">
        <w:t xml:space="preserve"> </w:t>
      </w:r>
    </w:p>
    <w:p w14:paraId="3861DB87" w14:textId="2A7898E2" w:rsidR="00413C53" w:rsidRDefault="00757D41" w:rsidP="00757D41">
      <w:pPr>
        <w:snapToGrid w:val="0"/>
        <w:spacing w:afterLines="120" w:after="288" w:line="240" w:lineRule="auto"/>
        <w:ind w:left="360"/>
      </w:pPr>
      <w:r>
        <w:rPr>
          <w:b/>
          <w:bCs/>
        </w:rPr>
        <w:t>SLIDE 9:</w:t>
      </w:r>
      <w:r>
        <w:t xml:space="preserve"> </w:t>
      </w:r>
      <w:r w:rsidR="00CD2B0D" w:rsidRPr="00CD2B0D">
        <w:t xml:space="preserve">Let’s quickly examine the MNT benefit and coverage through Medicare Part B. Medicare Part B MNT benefit provides coverage for individual or group MNT for type 1, type 2 or gestational diabetes, </w:t>
      </w:r>
      <w:r w:rsidR="00BD3E68">
        <w:t>c</w:t>
      </w:r>
      <w:r w:rsidR="00CD2B0D" w:rsidRPr="00CD2B0D">
        <w:t xml:space="preserve">hronic kidney disease </w:t>
      </w:r>
      <w:r w:rsidR="00BD3E68">
        <w:t xml:space="preserve">or </w:t>
      </w:r>
      <w:r w:rsidR="00CD2B0D" w:rsidRPr="00CD2B0D">
        <w:t xml:space="preserve">3 years post kidney transplant </w:t>
      </w:r>
      <w:r w:rsidR="00CD2B0D" w:rsidRPr="00757D41">
        <w:t>when the patient sees an RDN who is a Medicare Provider.</w:t>
      </w:r>
      <w:r w:rsidR="005C7D66">
        <w:t xml:space="preserve"> </w:t>
      </w:r>
      <w:r w:rsidR="00CD2B0D" w:rsidRPr="00CD2B0D">
        <w:t>A referral from a physician</w:t>
      </w:r>
      <w:r>
        <w:t xml:space="preserve"> (</w:t>
      </w:r>
      <w:r w:rsidR="00CD2B0D" w:rsidRPr="00CD2B0D">
        <w:t>an MD or a DO Medicare provider</w:t>
      </w:r>
      <w:r>
        <w:t>)</w:t>
      </w:r>
      <w:r w:rsidR="00CD2B0D" w:rsidRPr="00CD2B0D">
        <w:t xml:space="preserve"> is required every year.</w:t>
      </w:r>
      <w:r w:rsidR="005C7D66">
        <w:t xml:space="preserve"> </w:t>
      </w:r>
      <w:r w:rsidR="00CD2B0D" w:rsidRPr="00CD2B0D">
        <w:t xml:space="preserve">Medicare will cover and reimburse for additional hours of MNT if an individual needs more care </w:t>
      </w:r>
      <w:r w:rsidR="00CD2B0D" w:rsidRPr="00BD3E68">
        <w:rPr>
          <w:i/>
          <w:iCs/>
        </w:rPr>
        <w:t>and</w:t>
      </w:r>
      <w:r w:rsidR="00CD2B0D" w:rsidRPr="00CD2B0D">
        <w:t xml:space="preserve"> </w:t>
      </w:r>
      <w:proofErr w:type="gramStart"/>
      <w:r w:rsidR="00CD2B0D" w:rsidRPr="00CD2B0D">
        <w:t>as long as</w:t>
      </w:r>
      <w:proofErr w:type="gramEnd"/>
      <w:r w:rsidR="00CD2B0D" w:rsidRPr="00CD2B0D">
        <w:t xml:space="preserve"> the physician provides a new referral. Additionally, it is important to mention that there are Medicare beneficiaries who elect to enroll in Medicare Advantage Plans (also called Medicare Part C).</w:t>
      </w:r>
      <w:r w:rsidR="005C7D66">
        <w:t xml:space="preserve"> </w:t>
      </w:r>
      <w:r w:rsidR="00CD2B0D" w:rsidRPr="00CD2B0D">
        <w:t>Those individuals have at least this same benefit for MNT. In the case of Medicare Advantage, the RDN providing MNT must be credentialed with the Medicare Advantage health plan and payment would be through the Medicare Advantage payer</w:t>
      </w:r>
      <w:r>
        <w:t>.</w:t>
      </w:r>
    </w:p>
    <w:p w14:paraId="0068BDE1" w14:textId="77777777" w:rsidR="00E76941" w:rsidRDefault="00757D41" w:rsidP="00E76941">
      <w:pPr>
        <w:pStyle w:val="ListParagraph"/>
        <w:snapToGrid w:val="0"/>
        <w:spacing w:afterLines="120" w:after="288" w:line="240" w:lineRule="auto"/>
        <w:ind w:left="360"/>
        <w:contextualSpacing w:val="0"/>
      </w:pPr>
      <w:r w:rsidRPr="00E76941">
        <w:rPr>
          <w:b/>
          <w:bCs/>
        </w:rPr>
        <w:t>SLIDE 10:</w:t>
      </w:r>
      <w:r>
        <w:t xml:space="preserve"> </w:t>
      </w:r>
      <w:r w:rsidR="00CD2B0D" w:rsidRPr="00CD2B0D">
        <w:t xml:space="preserve">The federal government does not require states to provide benefits for MNT. Some states have elected to add benefits for MNT. Among states that have added MNT benefits, coverage for conditions and the number of visits varies significantly. </w:t>
      </w:r>
    </w:p>
    <w:p w14:paraId="5F8E425A" w14:textId="343CB74D" w:rsidR="00E76941" w:rsidRDefault="00E76941" w:rsidP="00E76941">
      <w:pPr>
        <w:pStyle w:val="ListParagraph"/>
        <w:snapToGrid w:val="0"/>
        <w:spacing w:afterLines="120" w:after="288" w:line="240" w:lineRule="auto"/>
        <w:ind w:left="360"/>
        <w:contextualSpacing w:val="0"/>
      </w:pPr>
      <w:r>
        <w:rPr>
          <w:b/>
          <w:bCs/>
        </w:rPr>
        <w:t>SLIDE 11:</w:t>
      </w:r>
      <w:r>
        <w:t xml:space="preserve"> </w:t>
      </w:r>
      <w:r w:rsidR="00CD2B0D" w:rsidRPr="00CD2B0D">
        <w:t>Private payers are the payers for commercial or private insurance. There are many instances where private payers administer government</w:t>
      </w:r>
      <w:r w:rsidR="00BD3E68">
        <w:t>-</w:t>
      </w:r>
      <w:r w:rsidR="00CD2B0D" w:rsidRPr="00CD2B0D">
        <w:t xml:space="preserve">sponsored insurance programs when individuals enroll in private payer options for Medicare or Medicaid. In many geographic areas, Medicare beneficiaries have the option to enroll in Medicare Advantage plans. In </w:t>
      </w:r>
      <w:proofErr w:type="gramStart"/>
      <w:r w:rsidR="00CD2B0D" w:rsidRPr="00CD2B0D">
        <w:t>both of these</w:t>
      </w:r>
      <w:proofErr w:type="gramEnd"/>
      <w:r w:rsidR="00CD2B0D" w:rsidRPr="00CD2B0D">
        <w:t xml:space="preserve"> scenarios, enrollees receive care from providers in the private payer networks. There are other entities that might also function </w:t>
      </w:r>
      <w:r w:rsidR="00BD3E68">
        <w:t xml:space="preserve">as </w:t>
      </w:r>
      <w:r w:rsidR="00CD2B0D" w:rsidRPr="00CD2B0D">
        <w:t>payers</w:t>
      </w:r>
      <w:r w:rsidR="00BD3E68">
        <w:t>,</w:t>
      </w:r>
      <w:r w:rsidR="00CD2B0D" w:rsidRPr="00CD2B0D">
        <w:t xml:space="preserve"> such as independent physician associations or Third-Party Administrators. </w:t>
      </w:r>
    </w:p>
    <w:p w14:paraId="4D54318E" w14:textId="2D647357" w:rsidR="00CD2B0D" w:rsidRPr="00CD2B0D" w:rsidRDefault="00E76941" w:rsidP="00335256">
      <w:pPr>
        <w:pStyle w:val="ListParagraph"/>
        <w:snapToGrid w:val="0"/>
        <w:spacing w:afterLines="120" w:after="288" w:line="240" w:lineRule="auto"/>
        <w:ind w:left="360"/>
        <w:contextualSpacing w:val="0"/>
      </w:pPr>
      <w:r>
        <w:rPr>
          <w:b/>
          <w:bCs/>
        </w:rPr>
        <w:t>SLIDE 12:</w:t>
      </w:r>
      <w:r>
        <w:t xml:space="preserve"> </w:t>
      </w:r>
      <w:r w:rsidR="00CD2B0D" w:rsidRPr="00CD2B0D">
        <w:t>Providers of health insurance offer number types of health insurance products and plan types. Health Maintenance Organization, Preferred Provider Organization and Exclusive Provider Organization are all examples of insurance products. There are small group and large group options.</w:t>
      </w:r>
      <w:r>
        <w:t xml:space="preserve"> </w:t>
      </w:r>
      <w:r w:rsidR="00CD2B0D" w:rsidRPr="00CD2B0D">
        <w:t xml:space="preserve">Employers – which are the purchasers or sponsors, select the health insurance products or plan types to offer the people they are insuring. Medicare has different parts. </w:t>
      </w:r>
      <w:r w:rsidR="00CD2B0D" w:rsidRPr="00E76941">
        <w:t>Medicare Part A</w:t>
      </w:r>
      <w:r w:rsidR="00CD2B0D" w:rsidRPr="00CD2B0D">
        <w:t> hospital insurance covers inpatient hospital care, skilled nursing facility, hospice, lab tests, surgery, home health care. Medicare Part B covers doctor and other health care providers' services and outpatient care, including MNT, durable medical equipment, home health care</w:t>
      </w:r>
      <w:r w:rsidR="00DD6555">
        <w:t xml:space="preserve"> </w:t>
      </w:r>
      <w:r w:rsidR="00CD2B0D" w:rsidRPr="00CD2B0D">
        <w:t>and other preventive services. Medicare Part D is for prescription drugs. Medicare Part C or “MA Plans,” are offered by Medicare-approved private companies that must follow rules set by Medicare. Many Medicare Advantage Plans also include drug coverage. Lastly, Medicare Part A &amp; B cover 80% of allowable charges. Beneficiaries are responsible for the remaining 20%.</w:t>
      </w:r>
      <w:r w:rsidR="005C7D66">
        <w:t xml:space="preserve"> </w:t>
      </w:r>
      <w:r w:rsidR="00CD2B0D" w:rsidRPr="00CD2B0D">
        <w:t>Many Medicare beneficiaries purchase Medicare supplemental policies, knowns as Medigap policies, to help cover that 20% not covered by Part A or B.</w:t>
      </w:r>
      <w:r w:rsidR="00335256">
        <w:t xml:space="preserve"> </w:t>
      </w:r>
      <w:r w:rsidR="00CD2B0D" w:rsidRPr="00CD2B0D">
        <w:t xml:space="preserve">Private insurers may also offer Medicaid products. Almost 70% of people with Medicaid are enrolled in managed </w:t>
      </w:r>
      <w:r w:rsidR="00DD6555">
        <w:t>M</w:t>
      </w:r>
      <w:r w:rsidR="00CD2B0D" w:rsidRPr="00CD2B0D">
        <w:t>edicaid</w:t>
      </w:r>
      <w:r w:rsidR="00DD6555">
        <w:t>-</w:t>
      </w:r>
      <w:r w:rsidR="00CD2B0D" w:rsidRPr="00CD2B0D">
        <w:t>type</w:t>
      </w:r>
      <w:r w:rsidR="00DD6555">
        <w:t>s</w:t>
      </w:r>
      <w:r w:rsidR="00CD2B0D" w:rsidRPr="00CD2B0D">
        <w:t xml:space="preserve"> of plans. </w:t>
      </w:r>
      <w:r w:rsidR="00DD6555">
        <w:t>Finally</w:t>
      </w:r>
      <w:r w:rsidR="00CD2B0D" w:rsidRPr="00CD2B0D">
        <w:t>, Marketplace plans are a type of insurance offered by private payers that are purchased on state health exchanges, or marketplaces.</w:t>
      </w:r>
      <w:r w:rsidR="005C7D66">
        <w:t xml:space="preserve"> </w:t>
      </w:r>
      <w:r w:rsidR="00CD2B0D" w:rsidRPr="00CD2B0D">
        <w:t>The marketplace plans must have 10 specific essential health benefits</w:t>
      </w:r>
      <w:r w:rsidR="00DD6555">
        <w:t>, and t</w:t>
      </w:r>
      <w:r w:rsidR="00CD2B0D" w:rsidRPr="00CD2B0D">
        <w:t>here are other different types of insurance products not listed here.</w:t>
      </w:r>
      <w:r w:rsidR="005C7D66">
        <w:t xml:space="preserve"> </w:t>
      </w:r>
    </w:p>
    <w:p w14:paraId="710FCE90" w14:textId="77777777" w:rsidR="00CD2B0D" w:rsidRPr="00CD2B0D" w:rsidRDefault="00CD2B0D" w:rsidP="00E960D0">
      <w:pPr>
        <w:snapToGrid w:val="0"/>
        <w:spacing w:afterLines="120" w:after="288" w:line="240" w:lineRule="auto"/>
        <w:ind w:left="360"/>
      </w:pPr>
    </w:p>
    <w:p w14:paraId="30F8E468" w14:textId="54109DBF" w:rsidR="00335256" w:rsidRDefault="00C22D00" w:rsidP="00335256">
      <w:pPr>
        <w:snapToGrid w:val="0"/>
        <w:spacing w:afterLines="120" w:after="288" w:line="240" w:lineRule="auto"/>
        <w:ind w:left="360"/>
      </w:pPr>
      <w:r w:rsidRPr="00C22D00">
        <w:rPr>
          <w:b/>
          <w:bCs/>
        </w:rPr>
        <w:t>SLIDE 1</w:t>
      </w:r>
      <w:r w:rsidR="00EC5983">
        <w:rPr>
          <w:b/>
          <w:bCs/>
        </w:rPr>
        <w:t>3</w:t>
      </w:r>
      <w:r w:rsidRPr="00C22D00">
        <w:rPr>
          <w:b/>
          <w:bCs/>
        </w:rPr>
        <w:t>:</w:t>
      </w:r>
      <w:r>
        <w:t xml:space="preserve"> </w:t>
      </w:r>
      <w:r w:rsidR="00CD2B0D" w:rsidRPr="00CD2B0D">
        <w:t>An individuals’ health insurance policy, another P-word, is most import to understand with regard for payment. An individual’s policy determines specific benefits for health care services and clarifies what is covered to what extent.</w:t>
      </w:r>
    </w:p>
    <w:p w14:paraId="3C156E72" w14:textId="474F4C38" w:rsidR="00335256" w:rsidRDefault="00335256" w:rsidP="00335256">
      <w:pPr>
        <w:snapToGrid w:val="0"/>
        <w:spacing w:afterLines="120" w:after="288" w:line="240" w:lineRule="auto"/>
        <w:ind w:left="360"/>
      </w:pPr>
      <w:r w:rsidRPr="00335256">
        <w:rPr>
          <w:b/>
          <w:bCs/>
        </w:rPr>
        <w:t>SLIDE 1</w:t>
      </w:r>
      <w:r w:rsidR="00EC5983">
        <w:rPr>
          <w:b/>
          <w:bCs/>
        </w:rPr>
        <w:t>4</w:t>
      </w:r>
      <w:r w:rsidRPr="00335256">
        <w:rPr>
          <w:b/>
          <w:bCs/>
        </w:rPr>
        <w:t>:</w:t>
      </w:r>
      <w:r>
        <w:t xml:space="preserve"> </w:t>
      </w:r>
      <w:r w:rsidR="00CD2B0D" w:rsidRPr="00CD2B0D">
        <w:t>One of the most important insurance terms to understand is “benefits”. There are many different health care services for which consumers might have benefits to receive care or services, and for which the health insurance payer will cover specific services for the consumer and reimburse health care providers for providing care.</w:t>
      </w:r>
      <w:r>
        <w:t xml:space="preserve"> </w:t>
      </w:r>
      <w:r w:rsidR="00CD2B0D" w:rsidRPr="00CD2B0D">
        <w:t xml:space="preserve">Some examples of general categories of benefits include primary care visits, laboratory tests, emergency room, hospitalization, and imaging. Medical Nutrition Therapy or nutrition counseling is an example a benefit item that may be part of an individual’s insurance policy. Just because an individual has a “benefit” for MNT does not mean that an individual’s insurance provider will pay a claim. </w:t>
      </w:r>
    </w:p>
    <w:p w14:paraId="627184C0" w14:textId="4D8A9285" w:rsidR="00C6611E" w:rsidRDefault="00335256" w:rsidP="00EC5983">
      <w:pPr>
        <w:snapToGrid w:val="0"/>
        <w:spacing w:afterLines="120" w:after="288" w:line="240" w:lineRule="auto"/>
        <w:ind w:left="360"/>
      </w:pPr>
      <w:r>
        <w:rPr>
          <w:b/>
          <w:bCs/>
        </w:rPr>
        <w:t>SLIDE 1</w:t>
      </w:r>
      <w:r w:rsidR="00EC5983">
        <w:rPr>
          <w:b/>
          <w:bCs/>
        </w:rPr>
        <w:t>5</w:t>
      </w:r>
      <w:r>
        <w:rPr>
          <w:b/>
          <w:bCs/>
        </w:rPr>
        <w:t>:</w:t>
      </w:r>
      <w:r>
        <w:t xml:space="preserve"> </w:t>
      </w:r>
      <w:r w:rsidR="00CD2B0D" w:rsidRPr="00CD2B0D">
        <w:t>The term “coverage,” refers to the details that describe the benefit according to the individual’s policy.</w:t>
      </w:r>
      <w:r w:rsidR="005C7D66">
        <w:t xml:space="preserve"> </w:t>
      </w:r>
      <w:r w:rsidR="00CD2B0D" w:rsidRPr="00CD2B0D">
        <w:t>This is sometimes referred to as “evidence of coverage” and it describes the criteria for the MNT benefit to be eligible for coverage for the individual.</w:t>
      </w:r>
      <w:r w:rsidR="005C7D66">
        <w:t xml:space="preserve"> </w:t>
      </w:r>
      <w:r w:rsidR="00CD2B0D" w:rsidRPr="00CD2B0D">
        <w:t>In Medicare language, this is referred to the “determination of coverage.”</w:t>
      </w:r>
      <w:r w:rsidR="005C7D66">
        <w:t xml:space="preserve"> </w:t>
      </w:r>
      <w:r w:rsidR="00CD2B0D" w:rsidRPr="00CD2B0D">
        <w:t>The coverage details inform the potential for provider payment.</w:t>
      </w:r>
      <w:r w:rsidR="00EC5983">
        <w:t xml:space="preserve"> </w:t>
      </w:r>
      <w:r w:rsidR="00CD2B0D" w:rsidRPr="00CD2B0D">
        <w:t>There may be several components to coverage such as the diagnoses or health status, but additional component may also apply. It is critical to understand whether the MNT is covered for the reason a person is seeking services.</w:t>
      </w:r>
      <w:r w:rsidR="005C7D66">
        <w:t xml:space="preserve"> </w:t>
      </w:r>
      <w:r w:rsidR="00CD2B0D" w:rsidRPr="00CD2B0D">
        <w:t xml:space="preserve">Sometimes the coverage is not as clear and may state that the service is covered </w:t>
      </w:r>
      <w:proofErr w:type="gramStart"/>
      <w:r w:rsidR="00CD2B0D" w:rsidRPr="00CD2B0D">
        <w:t>as long as</w:t>
      </w:r>
      <w:proofErr w:type="gramEnd"/>
      <w:r w:rsidR="00CD2B0D" w:rsidRPr="00CD2B0D">
        <w:t xml:space="preserve"> it is medically necessary. In such situations, the RDN may need to seek further clarification. The evidence of coverage may also specify exclusions, referral requirements, differences in coverage based on preventive indications v</w:t>
      </w:r>
      <w:r w:rsidR="00C6611E">
        <w:t>ersus</w:t>
      </w:r>
      <w:r w:rsidR="00CD2B0D" w:rsidRPr="00CD2B0D">
        <w:t xml:space="preserve"> a </w:t>
      </w:r>
      <w:proofErr w:type="gramStart"/>
      <w:r w:rsidR="00CD2B0D" w:rsidRPr="00CD2B0D">
        <w:t>medical diagnoses</w:t>
      </w:r>
      <w:proofErr w:type="gramEnd"/>
      <w:r w:rsidR="00CD2B0D" w:rsidRPr="00CD2B0D">
        <w:t>, and any limits on the number of visits. The coverage details will also specify things like deductible requirements and out of pocket cost, including copayments or coinsurance</w:t>
      </w:r>
      <w:r w:rsidR="00C6611E">
        <w:t>.</w:t>
      </w:r>
      <w:r w:rsidR="00CD2B0D" w:rsidRPr="00CD2B0D">
        <w:t xml:space="preserve"> It is important to clarify coverage differences when MNT is provided by a provider or practice that is out of network with an individual’s plan. </w:t>
      </w:r>
    </w:p>
    <w:p w14:paraId="31C80E1C" w14:textId="44E17778" w:rsidR="009E600A" w:rsidRDefault="00C6611E" w:rsidP="009E600A">
      <w:pPr>
        <w:snapToGrid w:val="0"/>
        <w:spacing w:afterLines="120" w:after="288" w:line="240" w:lineRule="auto"/>
        <w:ind w:left="360"/>
      </w:pPr>
      <w:r w:rsidRPr="00C6611E">
        <w:rPr>
          <w:b/>
          <w:bCs/>
        </w:rPr>
        <w:t>SLIDE 16:</w:t>
      </w:r>
      <w:r>
        <w:t xml:space="preserve"> </w:t>
      </w:r>
      <w:r w:rsidR="00CD2B0D" w:rsidRPr="00CD2B0D">
        <w:t xml:space="preserve">Benefit design and coverage can vary significantly. </w:t>
      </w:r>
      <w:r>
        <w:t>Let’s look at</w:t>
      </w:r>
      <w:r w:rsidR="00CD2B0D" w:rsidRPr="00CD2B0D">
        <w:t xml:space="preserve"> an example of two individuals </w:t>
      </w:r>
      <w:r>
        <w:t>with</w:t>
      </w:r>
      <w:r w:rsidR="00CD2B0D" w:rsidRPr="00CD2B0D">
        <w:t xml:space="preserve"> health insurance through the same company. </w:t>
      </w:r>
      <w:r>
        <w:t>Both have been</w:t>
      </w:r>
      <w:r w:rsidR="00CD2B0D" w:rsidRPr="00CD2B0D">
        <w:t xml:space="preserve"> referred to a dietitian</w:t>
      </w:r>
      <w:r>
        <w:t xml:space="preserve">, and both </w:t>
      </w:r>
      <w:r w:rsidR="00CD2B0D" w:rsidRPr="00CD2B0D">
        <w:t xml:space="preserve">have health insurance through the same insurance provider, </w:t>
      </w:r>
      <w:r>
        <w:t xml:space="preserve">which we’ll call </w:t>
      </w:r>
      <w:r w:rsidR="00CD2B0D" w:rsidRPr="00CD2B0D">
        <w:t>Company A. Hector’s policy includes benefits for MNT</w:t>
      </w:r>
      <w:r>
        <w:t>, and the</w:t>
      </w:r>
      <w:r w:rsidR="00CD2B0D" w:rsidRPr="00CD2B0D">
        <w:t xml:space="preserve"> service is covered at 100% </w:t>
      </w:r>
      <w:proofErr w:type="gramStart"/>
      <w:r w:rsidR="00CD2B0D" w:rsidRPr="00CD2B0D">
        <w:t>as long as</w:t>
      </w:r>
      <w:proofErr w:type="gramEnd"/>
      <w:r w:rsidR="00CD2B0D" w:rsidRPr="00CD2B0D">
        <w:t xml:space="preserve"> </w:t>
      </w:r>
      <w:r>
        <w:t>Hector</w:t>
      </w:r>
      <w:r w:rsidR="00CD2B0D" w:rsidRPr="00CD2B0D">
        <w:t xml:space="preserve"> works with a provider in network with Company A.</w:t>
      </w:r>
      <w:r w:rsidR="005C7D66">
        <w:t xml:space="preserve"> </w:t>
      </w:r>
      <w:r>
        <w:t>However, t</w:t>
      </w:r>
      <w:r w:rsidR="00CD2B0D" w:rsidRPr="00CD2B0D">
        <w:t xml:space="preserve">he MNT will </w:t>
      </w:r>
      <w:r>
        <w:t>NOT</w:t>
      </w:r>
      <w:r w:rsidR="00CD2B0D" w:rsidRPr="00CD2B0D">
        <w:t xml:space="preserve"> be covered for Hector if he works with an RDN out of network.</w:t>
      </w:r>
      <w:r w:rsidR="00EC5983">
        <w:t xml:space="preserve"> </w:t>
      </w:r>
      <w:r w:rsidR="00CD2B0D" w:rsidRPr="00CD2B0D">
        <w:t xml:space="preserve">For Susan, the MNT is covered only if she has a diagnosis of </w:t>
      </w:r>
      <w:proofErr w:type="gramStart"/>
      <w:r w:rsidR="00CD2B0D" w:rsidRPr="00CD2B0D">
        <w:t>diabetes</w:t>
      </w:r>
      <w:proofErr w:type="gramEnd"/>
      <w:r w:rsidR="00CD2B0D" w:rsidRPr="00CD2B0D">
        <w:t xml:space="preserve"> or she has obesity and specific co-morbid conditions. The MNT is not covered for other diagnos</w:t>
      </w:r>
      <w:r w:rsidR="009E600A">
        <w:t>e</w:t>
      </w:r>
      <w:r w:rsidR="00CD2B0D" w:rsidRPr="00CD2B0D">
        <w:t>s. Susan would have a $25 co</w:t>
      </w:r>
      <w:r w:rsidR="009E600A">
        <w:t>-</w:t>
      </w:r>
      <w:r w:rsidR="00CD2B0D" w:rsidRPr="00CD2B0D">
        <w:t>payment that the RDN would collect. If Susan works with an RDN who is out of network, her benefit will kick in only after she has met the $1500 deductible, and then she would be responsible for half of the cost.</w:t>
      </w:r>
      <w:r w:rsidR="009E600A">
        <w:t xml:space="preserve"> </w:t>
      </w:r>
      <w:r w:rsidR="00CD2B0D" w:rsidRPr="00CD2B0D">
        <w:t>The coverage for the patient also informs the RDN of the amount reimbursement.</w:t>
      </w:r>
      <w:r w:rsidR="009E600A">
        <w:t xml:space="preserve"> </w:t>
      </w:r>
      <w:r w:rsidR="00CD2B0D" w:rsidRPr="00CD2B0D">
        <w:t>In the case of Hector, an RDN who is in network with plan A would be reimbursed per the RDNs provider agreement with a payer.</w:t>
      </w:r>
      <w:r w:rsidR="005C7D66">
        <w:t xml:space="preserve"> </w:t>
      </w:r>
      <w:r w:rsidR="00CD2B0D" w:rsidRPr="00CD2B0D">
        <w:t>A claim from an RDN who is out of network RDN with Hector’s plan would not be paid by insurance company A.</w:t>
      </w:r>
      <w:r w:rsidR="005C7D66">
        <w:t xml:space="preserve"> </w:t>
      </w:r>
      <w:r w:rsidR="00CD2B0D" w:rsidRPr="00CD2B0D">
        <w:t>An in</w:t>
      </w:r>
      <w:r w:rsidR="001A2A12">
        <w:t>-</w:t>
      </w:r>
      <w:r w:rsidR="00CD2B0D" w:rsidRPr="00CD2B0D">
        <w:t>network RDN</w:t>
      </w:r>
      <w:r w:rsidR="009E600A">
        <w:t xml:space="preserve"> who</w:t>
      </w:r>
      <w:r w:rsidR="00CD2B0D" w:rsidRPr="00CD2B0D">
        <w:t xml:space="preserve"> is working with Susan for diabetes or obesity with co-existing conditions would be able to collect $2</w:t>
      </w:r>
      <w:r w:rsidR="001A2A12">
        <w:t>5</w:t>
      </w:r>
      <w:r w:rsidR="00CD2B0D" w:rsidRPr="00CD2B0D">
        <w:t xml:space="preserve"> from her at the time of service and would be paid the remining amount per the RDNs provider agreement with the payer. An out of network RDN would not receive any payment until Susan has met the $1500 deductible. The RDN should submit the claim to Insurance company A</w:t>
      </w:r>
      <w:r w:rsidR="00270C09">
        <w:t>,</w:t>
      </w:r>
      <w:r w:rsidR="00CD2B0D" w:rsidRPr="00CD2B0D">
        <w:t xml:space="preserve"> even if the claim will not be paid</w:t>
      </w:r>
      <w:r w:rsidR="00270C09">
        <w:t>,</w:t>
      </w:r>
      <w:r w:rsidR="00CD2B0D" w:rsidRPr="00CD2B0D">
        <w:t xml:space="preserve"> so that Susan’s out of pocket payment for the MNT can be counted towards her deductible.</w:t>
      </w:r>
      <w:r w:rsidR="005C7D66">
        <w:t xml:space="preserve"> </w:t>
      </w:r>
      <w:r w:rsidR="00CD2B0D" w:rsidRPr="00CD2B0D">
        <w:t>Once Susan hits her deductible, an out</w:t>
      </w:r>
      <w:r w:rsidR="00270C09">
        <w:t>-</w:t>
      </w:r>
      <w:r w:rsidR="00CD2B0D" w:rsidRPr="00CD2B0D">
        <w:t>of</w:t>
      </w:r>
      <w:r w:rsidR="00270C09">
        <w:t>-</w:t>
      </w:r>
      <w:r w:rsidR="00CD2B0D" w:rsidRPr="00CD2B0D">
        <w:t>network RDN could receive reimbursement of up to 50% of the payer</w:t>
      </w:r>
      <w:r w:rsidR="00270C09">
        <w:t>’</w:t>
      </w:r>
      <w:r w:rsidR="00CD2B0D" w:rsidRPr="00CD2B0D">
        <w:t>s allowed amount for the MNT.</w:t>
      </w:r>
    </w:p>
    <w:p w14:paraId="5808A0FD" w14:textId="77777777" w:rsidR="009E600A" w:rsidRDefault="009E600A" w:rsidP="009E600A">
      <w:pPr>
        <w:snapToGrid w:val="0"/>
        <w:spacing w:afterLines="120" w:after="288" w:line="240" w:lineRule="auto"/>
        <w:ind w:left="360"/>
      </w:pPr>
      <w:r w:rsidRPr="009E600A">
        <w:rPr>
          <w:b/>
          <w:bCs/>
        </w:rPr>
        <w:t>SLIDE 17:</w:t>
      </w:r>
      <w:r>
        <w:t xml:space="preserve"> </w:t>
      </w:r>
      <w:r w:rsidR="00CD2B0D" w:rsidRPr="00CD2B0D">
        <w:t xml:space="preserve">The key message: benefits and coverage are not the same thing. Understanding the coverage details is critical to understanding the payment and to informing individuals of out-of-pocket costs. </w:t>
      </w:r>
    </w:p>
    <w:p w14:paraId="3E270883" w14:textId="4B688B7B" w:rsidR="009E600A" w:rsidRDefault="009E600A" w:rsidP="009E600A">
      <w:pPr>
        <w:snapToGrid w:val="0"/>
        <w:spacing w:afterLines="120" w:after="288" w:line="240" w:lineRule="auto"/>
        <w:ind w:left="360"/>
      </w:pPr>
      <w:r w:rsidRPr="009E600A">
        <w:rPr>
          <w:b/>
          <w:bCs/>
        </w:rPr>
        <w:t>SLIDE 18:</w:t>
      </w:r>
      <w:r>
        <w:t xml:space="preserve"> </w:t>
      </w:r>
      <w:r w:rsidR="007A1755" w:rsidRPr="007A1755">
        <w:t xml:space="preserve">Let’s go back to some of the “P” words and focus on a term used in the health insurance world that is used in many different contexts, and sometimes incorrectly. The word “plan” is used in many </w:t>
      </w:r>
      <w:proofErr w:type="gramStart"/>
      <w:r w:rsidR="007A1755" w:rsidRPr="007A1755">
        <w:t>contexts</w:t>
      </w:r>
      <w:proofErr w:type="gramEnd"/>
      <w:r w:rsidR="007A1755" w:rsidRPr="007A1755">
        <w:t xml:space="preserve"> and it lacks an </w:t>
      </w:r>
      <w:r w:rsidR="007A1755" w:rsidRPr="007A1755">
        <w:lastRenderedPageBreak/>
        <w:t>exact definition.</w:t>
      </w:r>
      <w:r w:rsidR="005C7D66">
        <w:t xml:space="preserve"> </w:t>
      </w:r>
      <w:r w:rsidR="007A1755" w:rsidRPr="007A1755">
        <w:t>A reference to someone’s plan might be to the individual’s health insurance provider or company, or it could be a type of health insurance product. Someone’s individual health insurance policy might also be referred to as the individual’s plan.</w:t>
      </w:r>
      <w:r w:rsidR="005C7D66">
        <w:t xml:space="preserve"> </w:t>
      </w:r>
      <w:r w:rsidR="007A1755" w:rsidRPr="009E600A">
        <w:t>Whenever you hear the word “plan” being used, it’s important to pay attention to how it is being used and to clarify the context.</w:t>
      </w:r>
    </w:p>
    <w:p w14:paraId="01013612" w14:textId="361E0C1B" w:rsidR="009E600A" w:rsidRDefault="009E600A" w:rsidP="009E600A">
      <w:pPr>
        <w:snapToGrid w:val="0"/>
        <w:spacing w:afterLines="120" w:after="288" w:line="240" w:lineRule="auto"/>
        <w:ind w:left="360"/>
      </w:pPr>
      <w:r w:rsidRPr="009E600A">
        <w:rPr>
          <w:b/>
          <w:bCs/>
        </w:rPr>
        <w:t>SLIDE 19:</w:t>
      </w:r>
      <w:r>
        <w:t xml:space="preserve"> </w:t>
      </w:r>
      <w:r w:rsidR="007A1755" w:rsidRPr="007A1755">
        <w:t>RDNs should be aware that health insurers have policies and guidelines that have a bearing on practice and payment. Payers may have general policies or guidelines for MNT or nutrition counseling service and indications.</w:t>
      </w:r>
      <w:r w:rsidR="005C7D66">
        <w:t xml:space="preserve"> </w:t>
      </w:r>
      <w:r w:rsidR="007A1755" w:rsidRPr="007A1755">
        <w:t xml:space="preserve">Guidelines and policies might specify CPT codes and ICD10 codes that are “recognized” by the payer. The policies are general and do not determine individual patient benefits and coverage. Always refer to individual member benefits and the evidence of coverage of an individual’s policy to understand coverage for the patient and the potential payment to the provider. </w:t>
      </w:r>
    </w:p>
    <w:p w14:paraId="675BC047" w14:textId="3DECF512" w:rsidR="009E600A" w:rsidRDefault="009E600A" w:rsidP="009E600A">
      <w:pPr>
        <w:snapToGrid w:val="0"/>
        <w:spacing w:afterLines="120" w:after="288" w:line="240" w:lineRule="auto"/>
        <w:ind w:left="360"/>
      </w:pPr>
      <w:r>
        <w:rPr>
          <w:b/>
          <w:bCs/>
        </w:rPr>
        <w:t>SLIDE 20:</w:t>
      </w:r>
      <w:r>
        <w:t xml:space="preserve"> </w:t>
      </w:r>
      <w:r w:rsidR="007A1755" w:rsidRPr="007A1755">
        <w:t xml:space="preserve">Credentialing is the process for becoming a provider in health insurance network(s). The RDN a status as in-network or out-of-network with an individual’s health insurance network is an important factor in benefits, </w:t>
      </w:r>
      <w:proofErr w:type="gramStart"/>
      <w:r w:rsidR="007A1755" w:rsidRPr="007A1755">
        <w:t>coverage</w:t>
      </w:r>
      <w:proofErr w:type="gramEnd"/>
      <w:r w:rsidR="007A1755" w:rsidRPr="007A1755">
        <w:t xml:space="preserve"> and payment for a provider. For example, some individuals may not have a benefit for MNT with an out</w:t>
      </w:r>
      <w:r w:rsidR="00833A6B">
        <w:t>-</w:t>
      </w:r>
      <w:r w:rsidR="007A1755" w:rsidRPr="007A1755">
        <w:t>of</w:t>
      </w:r>
      <w:r w:rsidR="00833A6B">
        <w:t>-</w:t>
      </w:r>
      <w:r w:rsidR="007A1755" w:rsidRPr="007A1755">
        <w:t xml:space="preserve">network provider, or the coverage might be different. Patient costs </w:t>
      </w:r>
      <w:r>
        <w:t>—</w:t>
      </w:r>
      <w:r w:rsidR="007A1755" w:rsidRPr="007A1755">
        <w:t xml:space="preserve"> deductibles, </w:t>
      </w:r>
      <w:proofErr w:type="gramStart"/>
      <w:r w:rsidR="007A1755" w:rsidRPr="007A1755">
        <w:t>copayments</w:t>
      </w:r>
      <w:proofErr w:type="gramEnd"/>
      <w:r w:rsidR="007A1755" w:rsidRPr="007A1755">
        <w:t xml:space="preserve"> or coinsurance </w:t>
      </w:r>
      <w:r>
        <w:t xml:space="preserve">— </w:t>
      </w:r>
      <w:r w:rsidR="007A1755" w:rsidRPr="007A1755">
        <w:t>may be determined by the credentialing status of the RDN. These factors determine the eligible payment for the RDN, and how the payments are obtained.</w:t>
      </w:r>
    </w:p>
    <w:p w14:paraId="1D744803" w14:textId="0FC75246" w:rsidR="009E600A" w:rsidRDefault="009E600A" w:rsidP="009E600A">
      <w:pPr>
        <w:snapToGrid w:val="0"/>
        <w:spacing w:afterLines="120" w:after="288" w:line="240" w:lineRule="auto"/>
        <w:ind w:left="360"/>
      </w:pPr>
      <w:r>
        <w:rPr>
          <w:b/>
          <w:bCs/>
        </w:rPr>
        <w:t>SLIDE 21:</w:t>
      </w:r>
      <w:r>
        <w:t xml:space="preserve"> </w:t>
      </w:r>
      <w:r w:rsidR="007A1755" w:rsidRPr="007A1755">
        <w:t xml:space="preserve">A Payer’s policies at the state level may can have an impact on how both consumers access care and how RDNs can practice. For example, some state Medicaid </w:t>
      </w:r>
      <w:proofErr w:type="gramStart"/>
      <w:r w:rsidR="007A1755" w:rsidRPr="007A1755">
        <w:t>programs</w:t>
      </w:r>
      <w:proofErr w:type="gramEnd"/>
      <w:r w:rsidR="007A1755" w:rsidRPr="007A1755">
        <w:t xml:space="preserve"> and some private insurance companies may have enrollees and members with benefits for MNT, but they might not credential individual RDNs. When RDNs are unable to become credentialed in a state Medicaid program, they are unable to submit claims as individual RDNs, such as an RDN in private practice. It may still be possible for RDNs to provide services in the context of team-based care or working with a physician or other qualified billing provider, but the physician or other credentialed and qualified billing provider might need to submit the claim for MNT. If you experience credentialing barriers, contact your state affiliate’s Nutrition Services Payment Specialist. They may be able to help you understand any actions that are being taken to address any barriers.</w:t>
      </w:r>
    </w:p>
    <w:p w14:paraId="2C88A31C" w14:textId="13050B9E" w:rsidR="007A1755" w:rsidRDefault="009E600A" w:rsidP="009E600A">
      <w:pPr>
        <w:snapToGrid w:val="0"/>
        <w:spacing w:afterLines="120" w:after="288" w:line="240" w:lineRule="auto"/>
        <w:ind w:left="360"/>
      </w:pPr>
      <w:r>
        <w:rPr>
          <w:b/>
          <w:bCs/>
        </w:rPr>
        <w:t>SLIDE 22:</w:t>
      </w:r>
      <w:r>
        <w:t xml:space="preserve"> </w:t>
      </w:r>
      <w:r w:rsidR="007A1755" w:rsidRPr="007A1755">
        <w:t>The RDNs Complete Guide to Credentialing is an excellent resource for RDNs regarding the health insurance related content addressed in this presentation.</w:t>
      </w:r>
      <w:r>
        <w:t xml:space="preserve"> </w:t>
      </w:r>
      <w:r w:rsidR="007A1755" w:rsidRPr="007A1755">
        <w:t>Recognize that there are a lot of health insurance related factors that influence the possibility of payment.</w:t>
      </w:r>
      <w:r w:rsidR="005C7D66">
        <w:t xml:space="preserve"> </w:t>
      </w:r>
      <w:r w:rsidR="007A1755" w:rsidRPr="007A1755">
        <w:t>Individual patient benefits and coverage are critical, as well as the credentialing status of the RDN or practice.</w:t>
      </w:r>
      <w:r>
        <w:t xml:space="preserve"> </w:t>
      </w:r>
      <w:r w:rsidR="007A1755" w:rsidRPr="007A1755">
        <w:t xml:space="preserve">Purchasers and sponsors select health insurance packages for their employees or enrollees. There are numerous types of health insurance products. You </w:t>
      </w:r>
      <w:proofErr w:type="gramStart"/>
      <w:r w:rsidR="007A1755" w:rsidRPr="007A1755">
        <w:t>have to</w:t>
      </w:r>
      <w:proofErr w:type="gramEnd"/>
      <w:r w:rsidR="007A1755" w:rsidRPr="007A1755">
        <w:t xml:space="preserve"> look at a person’s individual policy to understand the potential payment for MNT.</w:t>
      </w:r>
    </w:p>
    <w:p w14:paraId="66120957" w14:textId="77777777" w:rsidR="005C7D66" w:rsidRDefault="005C7D66" w:rsidP="005C7D66">
      <w:pPr>
        <w:ind w:left="360"/>
      </w:pPr>
      <w:r w:rsidRPr="00E43C3A">
        <w:rPr>
          <w:b/>
          <w:bCs/>
        </w:rPr>
        <w:t>Closing Slide:</w:t>
      </w:r>
      <w:r>
        <w:t xml:space="preserve"> P</w:t>
      </w:r>
      <w:r w:rsidRPr="005D4153">
        <w:t xml:space="preserve">lease refer to other </w:t>
      </w:r>
      <w:r>
        <w:t>module</w:t>
      </w:r>
      <w:r w:rsidRPr="005D4153">
        <w:t xml:space="preserve">s in the </w:t>
      </w:r>
      <w:r>
        <w:t>P</w:t>
      </w:r>
      <w:r w:rsidRPr="005D4153">
        <w:t xml:space="preserve">ower of </w:t>
      </w:r>
      <w:r>
        <w:t>P</w:t>
      </w:r>
      <w:r w:rsidRPr="005D4153">
        <w:t>ayment series that address many of the foundational components</w:t>
      </w:r>
      <w:r>
        <w:t xml:space="preserve"> of payment for MNT and nutrition services.</w:t>
      </w:r>
    </w:p>
    <w:p w14:paraId="5A8C6F40" w14:textId="6FDC00A7" w:rsidR="005C7D66" w:rsidRDefault="005C7D66" w:rsidP="005C7D66">
      <w:pPr>
        <w:snapToGrid w:val="0"/>
        <w:spacing w:afterLines="120" w:after="288" w:line="240" w:lineRule="auto"/>
        <w:ind w:left="360"/>
      </w:pPr>
    </w:p>
    <w:sectPr w:rsidR="005C7D66" w:rsidSect="00AE6AE4">
      <w:pgSz w:w="12240" w:h="15840"/>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D7743"/>
    <w:multiLevelType w:val="hybridMultilevel"/>
    <w:tmpl w:val="1B0AD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0B1098"/>
    <w:multiLevelType w:val="hybridMultilevel"/>
    <w:tmpl w:val="E92CCBB8"/>
    <w:lvl w:ilvl="0" w:tplc="B4B4E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9969861">
    <w:abstractNumId w:val="1"/>
  </w:num>
  <w:num w:numId="2" w16cid:durableId="161069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E4"/>
    <w:rsid w:val="001A2A12"/>
    <w:rsid w:val="00241F98"/>
    <w:rsid w:val="00270C09"/>
    <w:rsid w:val="002D6085"/>
    <w:rsid w:val="00335256"/>
    <w:rsid w:val="00413C53"/>
    <w:rsid w:val="005168ED"/>
    <w:rsid w:val="005C7D66"/>
    <w:rsid w:val="00757D41"/>
    <w:rsid w:val="007A1755"/>
    <w:rsid w:val="00820A9C"/>
    <w:rsid w:val="00833A6B"/>
    <w:rsid w:val="009E600A"/>
    <w:rsid w:val="00A7467F"/>
    <w:rsid w:val="00AE6AE4"/>
    <w:rsid w:val="00B605AC"/>
    <w:rsid w:val="00BD3E68"/>
    <w:rsid w:val="00C02D4A"/>
    <w:rsid w:val="00C22D00"/>
    <w:rsid w:val="00C6611E"/>
    <w:rsid w:val="00CD2B0D"/>
    <w:rsid w:val="00DD6555"/>
    <w:rsid w:val="00E76941"/>
    <w:rsid w:val="00E960D0"/>
    <w:rsid w:val="00EA05BA"/>
    <w:rsid w:val="00EC5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A77E"/>
  <w15:chartTrackingRefBased/>
  <w15:docId w15:val="{F60CB0B7-2B2F-43AB-A494-1E6A002C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43569">
      <w:bodyDiv w:val="1"/>
      <w:marLeft w:val="0"/>
      <w:marRight w:val="0"/>
      <w:marTop w:val="0"/>
      <w:marBottom w:val="0"/>
      <w:divBdr>
        <w:top w:val="none" w:sz="0" w:space="0" w:color="auto"/>
        <w:left w:val="none" w:sz="0" w:space="0" w:color="auto"/>
        <w:bottom w:val="none" w:sz="0" w:space="0" w:color="auto"/>
        <w:right w:val="none" w:sz="0" w:space="0" w:color="auto"/>
      </w:divBdr>
    </w:div>
    <w:div w:id="399716930">
      <w:bodyDiv w:val="1"/>
      <w:marLeft w:val="0"/>
      <w:marRight w:val="0"/>
      <w:marTop w:val="0"/>
      <w:marBottom w:val="0"/>
      <w:divBdr>
        <w:top w:val="none" w:sz="0" w:space="0" w:color="auto"/>
        <w:left w:val="none" w:sz="0" w:space="0" w:color="auto"/>
        <w:bottom w:val="none" w:sz="0" w:space="0" w:color="auto"/>
        <w:right w:val="none" w:sz="0" w:space="0" w:color="auto"/>
      </w:divBdr>
    </w:div>
    <w:div w:id="425075661">
      <w:bodyDiv w:val="1"/>
      <w:marLeft w:val="0"/>
      <w:marRight w:val="0"/>
      <w:marTop w:val="0"/>
      <w:marBottom w:val="0"/>
      <w:divBdr>
        <w:top w:val="none" w:sz="0" w:space="0" w:color="auto"/>
        <w:left w:val="none" w:sz="0" w:space="0" w:color="auto"/>
        <w:bottom w:val="none" w:sz="0" w:space="0" w:color="auto"/>
        <w:right w:val="none" w:sz="0" w:space="0" w:color="auto"/>
      </w:divBdr>
    </w:div>
    <w:div w:id="701250241">
      <w:bodyDiv w:val="1"/>
      <w:marLeft w:val="0"/>
      <w:marRight w:val="0"/>
      <w:marTop w:val="0"/>
      <w:marBottom w:val="0"/>
      <w:divBdr>
        <w:top w:val="none" w:sz="0" w:space="0" w:color="auto"/>
        <w:left w:val="none" w:sz="0" w:space="0" w:color="auto"/>
        <w:bottom w:val="none" w:sz="0" w:space="0" w:color="auto"/>
        <w:right w:val="none" w:sz="0" w:space="0" w:color="auto"/>
      </w:divBdr>
    </w:div>
    <w:div w:id="790787279">
      <w:bodyDiv w:val="1"/>
      <w:marLeft w:val="0"/>
      <w:marRight w:val="0"/>
      <w:marTop w:val="0"/>
      <w:marBottom w:val="0"/>
      <w:divBdr>
        <w:top w:val="none" w:sz="0" w:space="0" w:color="auto"/>
        <w:left w:val="none" w:sz="0" w:space="0" w:color="auto"/>
        <w:bottom w:val="none" w:sz="0" w:space="0" w:color="auto"/>
        <w:right w:val="none" w:sz="0" w:space="0" w:color="auto"/>
      </w:divBdr>
    </w:div>
    <w:div w:id="892497484">
      <w:bodyDiv w:val="1"/>
      <w:marLeft w:val="0"/>
      <w:marRight w:val="0"/>
      <w:marTop w:val="0"/>
      <w:marBottom w:val="0"/>
      <w:divBdr>
        <w:top w:val="none" w:sz="0" w:space="0" w:color="auto"/>
        <w:left w:val="none" w:sz="0" w:space="0" w:color="auto"/>
        <w:bottom w:val="none" w:sz="0" w:space="0" w:color="auto"/>
        <w:right w:val="none" w:sz="0" w:space="0" w:color="auto"/>
      </w:divBdr>
    </w:div>
    <w:div w:id="925454796">
      <w:bodyDiv w:val="1"/>
      <w:marLeft w:val="0"/>
      <w:marRight w:val="0"/>
      <w:marTop w:val="0"/>
      <w:marBottom w:val="0"/>
      <w:divBdr>
        <w:top w:val="none" w:sz="0" w:space="0" w:color="auto"/>
        <w:left w:val="none" w:sz="0" w:space="0" w:color="auto"/>
        <w:bottom w:val="none" w:sz="0" w:space="0" w:color="auto"/>
        <w:right w:val="none" w:sz="0" w:space="0" w:color="auto"/>
      </w:divBdr>
    </w:div>
    <w:div w:id="950010148">
      <w:bodyDiv w:val="1"/>
      <w:marLeft w:val="0"/>
      <w:marRight w:val="0"/>
      <w:marTop w:val="0"/>
      <w:marBottom w:val="0"/>
      <w:divBdr>
        <w:top w:val="none" w:sz="0" w:space="0" w:color="auto"/>
        <w:left w:val="none" w:sz="0" w:space="0" w:color="auto"/>
        <w:bottom w:val="none" w:sz="0" w:space="0" w:color="auto"/>
        <w:right w:val="none" w:sz="0" w:space="0" w:color="auto"/>
      </w:divBdr>
    </w:div>
    <w:div w:id="1031226856">
      <w:bodyDiv w:val="1"/>
      <w:marLeft w:val="0"/>
      <w:marRight w:val="0"/>
      <w:marTop w:val="0"/>
      <w:marBottom w:val="0"/>
      <w:divBdr>
        <w:top w:val="none" w:sz="0" w:space="0" w:color="auto"/>
        <w:left w:val="none" w:sz="0" w:space="0" w:color="auto"/>
        <w:bottom w:val="none" w:sz="0" w:space="0" w:color="auto"/>
        <w:right w:val="none" w:sz="0" w:space="0" w:color="auto"/>
      </w:divBdr>
    </w:div>
    <w:div w:id="1111097415">
      <w:bodyDiv w:val="1"/>
      <w:marLeft w:val="0"/>
      <w:marRight w:val="0"/>
      <w:marTop w:val="0"/>
      <w:marBottom w:val="0"/>
      <w:divBdr>
        <w:top w:val="none" w:sz="0" w:space="0" w:color="auto"/>
        <w:left w:val="none" w:sz="0" w:space="0" w:color="auto"/>
        <w:bottom w:val="none" w:sz="0" w:space="0" w:color="auto"/>
        <w:right w:val="none" w:sz="0" w:space="0" w:color="auto"/>
      </w:divBdr>
    </w:div>
    <w:div w:id="1178614626">
      <w:bodyDiv w:val="1"/>
      <w:marLeft w:val="0"/>
      <w:marRight w:val="0"/>
      <w:marTop w:val="0"/>
      <w:marBottom w:val="0"/>
      <w:divBdr>
        <w:top w:val="none" w:sz="0" w:space="0" w:color="auto"/>
        <w:left w:val="none" w:sz="0" w:space="0" w:color="auto"/>
        <w:bottom w:val="none" w:sz="0" w:space="0" w:color="auto"/>
        <w:right w:val="none" w:sz="0" w:space="0" w:color="auto"/>
      </w:divBdr>
    </w:div>
    <w:div w:id="1198738110">
      <w:bodyDiv w:val="1"/>
      <w:marLeft w:val="0"/>
      <w:marRight w:val="0"/>
      <w:marTop w:val="0"/>
      <w:marBottom w:val="0"/>
      <w:divBdr>
        <w:top w:val="none" w:sz="0" w:space="0" w:color="auto"/>
        <w:left w:val="none" w:sz="0" w:space="0" w:color="auto"/>
        <w:bottom w:val="none" w:sz="0" w:space="0" w:color="auto"/>
        <w:right w:val="none" w:sz="0" w:space="0" w:color="auto"/>
      </w:divBdr>
    </w:div>
    <w:div w:id="1270427563">
      <w:bodyDiv w:val="1"/>
      <w:marLeft w:val="0"/>
      <w:marRight w:val="0"/>
      <w:marTop w:val="0"/>
      <w:marBottom w:val="0"/>
      <w:divBdr>
        <w:top w:val="none" w:sz="0" w:space="0" w:color="auto"/>
        <w:left w:val="none" w:sz="0" w:space="0" w:color="auto"/>
        <w:bottom w:val="none" w:sz="0" w:space="0" w:color="auto"/>
        <w:right w:val="none" w:sz="0" w:space="0" w:color="auto"/>
      </w:divBdr>
    </w:div>
    <w:div w:id="1302078751">
      <w:bodyDiv w:val="1"/>
      <w:marLeft w:val="0"/>
      <w:marRight w:val="0"/>
      <w:marTop w:val="0"/>
      <w:marBottom w:val="0"/>
      <w:divBdr>
        <w:top w:val="none" w:sz="0" w:space="0" w:color="auto"/>
        <w:left w:val="none" w:sz="0" w:space="0" w:color="auto"/>
        <w:bottom w:val="none" w:sz="0" w:space="0" w:color="auto"/>
        <w:right w:val="none" w:sz="0" w:space="0" w:color="auto"/>
      </w:divBdr>
    </w:div>
    <w:div w:id="1304114129">
      <w:bodyDiv w:val="1"/>
      <w:marLeft w:val="0"/>
      <w:marRight w:val="0"/>
      <w:marTop w:val="0"/>
      <w:marBottom w:val="0"/>
      <w:divBdr>
        <w:top w:val="none" w:sz="0" w:space="0" w:color="auto"/>
        <w:left w:val="none" w:sz="0" w:space="0" w:color="auto"/>
        <w:bottom w:val="none" w:sz="0" w:space="0" w:color="auto"/>
        <w:right w:val="none" w:sz="0" w:space="0" w:color="auto"/>
      </w:divBdr>
    </w:div>
    <w:div w:id="1315984573">
      <w:bodyDiv w:val="1"/>
      <w:marLeft w:val="0"/>
      <w:marRight w:val="0"/>
      <w:marTop w:val="0"/>
      <w:marBottom w:val="0"/>
      <w:divBdr>
        <w:top w:val="none" w:sz="0" w:space="0" w:color="auto"/>
        <w:left w:val="none" w:sz="0" w:space="0" w:color="auto"/>
        <w:bottom w:val="none" w:sz="0" w:space="0" w:color="auto"/>
        <w:right w:val="none" w:sz="0" w:space="0" w:color="auto"/>
      </w:divBdr>
    </w:div>
    <w:div w:id="1374960246">
      <w:bodyDiv w:val="1"/>
      <w:marLeft w:val="0"/>
      <w:marRight w:val="0"/>
      <w:marTop w:val="0"/>
      <w:marBottom w:val="0"/>
      <w:divBdr>
        <w:top w:val="none" w:sz="0" w:space="0" w:color="auto"/>
        <w:left w:val="none" w:sz="0" w:space="0" w:color="auto"/>
        <w:bottom w:val="none" w:sz="0" w:space="0" w:color="auto"/>
        <w:right w:val="none" w:sz="0" w:space="0" w:color="auto"/>
      </w:divBdr>
    </w:div>
    <w:div w:id="1441949756">
      <w:bodyDiv w:val="1"/>
      <w:marLeft w:val="0"/>
      <w:marRight w:val="0"/>
      <w:marTop w:val="0"/>
      <w:marBottom w:val="0"/>
      <w:divBdr>
        <w:top w:val="none" w:sz="0" w:space="0" w:color="auto"/>
        <w:left w:val="none" w:sz="0" w:space="0" w:color="auto"/>
        <w:bottom w:val="none" w:sz="0" w:space="0" w:color="auto"/>
        <w:right w:val="none" w:sz="0" w:space="0" w:color="auto"/>
      </w:divBdr>
    </w:div>
    <w:div w:id="1490172391">
      <w:bodyDiv w:val="1"/>
      <w:marLeft w:val="0"/>
      <w:marRight w:val="0"/>
      <w:marTop w:val="0"/>
      <w:marBottom w:val="0"/>
      <w:divBdr>
        <w:top w:val="none" w:sz="0" w:space="0" w:color="auto"/>
        <w:left w:val="none" w:sz="0" w:space="0" w:color="auto"/>
        <w:bottom w:val="none" w:sz="0" w:space="0" w:color="auto"/>
        <w:right w:val="none" w:sz="0" w:space="0" w:color="auto"/>
      </w:divBdr>
    </w:div>
    <w:div w:id="1521746274">
      <w:bodyDiv w:val="1"/>
      <w:marLeft w:val="0"/>
      <w:marRight w:val="0"/>
      <w:marTop w:val="0"/>
      <w:marBottom w:val="0"/>
      <w:divBdr>
        <w:top w:val="none" w:sz="0" w:space="0" w:color="auto"/>
        <w:left w:val="none" w:sz="0" w:space="0" w:color="auto"/>
        <w:bottom w:val="none" w:sz="0" w:space="0" w:color="auto"/>
        <w:right w:val="none" w:sz="0" w:space="0" w:color="auto"/>
      </w:divBdr>
    </w:div>
    <w:div w:id="1529374993">
      <w:bodyDiv w:val="1"/>
      <w:marLeft w:val="0"/>
      <w:marRight w:val="0"/>
      <w:marTop w:val="0"/>
      <w:marBottom w:val="0"/>
      <w:divBdr>
        <w:top w:val="none" w:sz="0" w:space="0" w:color="auto"/>
        <w:left w:val="none" w:sz="0" w:space="0" w:color="auto"/>
        <w:bottom w:val="none" w:sz="0" w:space="0" w:color="auto"/>
        <w:right w:val="none" w:sz="0" w:space="0" w:color="auto"/>
      </w:divBdr>
    </w:div>
    <w:div w:id="1648628846">
      <w:bodyDiv w:val="1"/>
      <w:marLeft w:val="0"/>
      <w:marRight w:val="0"/>
      <w:marTop w:val="0"/>
      <w:marBottom w:val="0"/>
      <w:divBdr>
        <w:top w:val="none" w:sz="0" w:space="0" w:color="auto"/>
        <w:left w:val="none" w:sz="0" w:space="0" w:color="auto"/>
        <w:bottom w:val="none" w:sz="0" w:space="0" w:color="auto"/>
        <w:right w:val="none" w:sz="0" w:space="0" w:color="auto"/>
      </w:divBdr>
    </w:div>
    <w:div w:id="1799836737">
      <w:bodyDiv w:val="1"/>
      <w:marLeft w:val="0"/>
      <w:marRight w:val="0"/>
      <w:marTop w:val="0"/>
      <w:marBottom w:val="0"/>
      <w:divBdr>
        <w:top w:val="none" w:sz="0" w:space="0" w:color="auto"/>
        <w:left w:val="none" w:sz="0" w:space="0" w:color="auto"/>
        <w:bottom w:val="none" w:sz="0" w:space="0" w:color="auto"/>
        <w:right w:val="none" w:sz="0" w:space="0" w:color="auto"/>
      </w:divBdr>
    </w:div>
    <w:div w:id="1899170737">
      <w:bodyDiv w:val="1"/>
      <w:marLeft w:val="0"/>
      <w:marRight w:val="0"/>
      <w:marTop w:val="0"/>
      <w:marBottom w:val="0"/>
      <w:divBdr>
        <w:top w:val="none" w:sz="0" w:space="0" w:color="auto"/>
        <w:left w:val="none" w:sz="0" w:space="0" w:color="auto"/>
        <w:bottom w:val="none" w:sz="0" w:space="0" w:color="auto"/>
        <w:right w:val="none" w:sz="0" w:space="0" w:color="auto"/>
      </w:divBdr>
    </w:div>
    <w:div w:id="1985088126">
      <w:bodyDiv w:val="1"/>
      <w:marLeft w:val="0"/>
      <w:marRight w:val="0"/>
      <w:marTop w:val="0"/>
      <w:marBottom w:val="0"/>
      <w:divBdr>
        <w:top w:val="none" w:sz="0" w:space="0" w:color="auto"/>
        <w:left w:val="none" w:sz="0" w:space="0" w:color="auto"/>
        <w:bottom w:val="none" w:sz="0" w:space="0" w:color="auto"/>
        <w:right w:val="none" w:sz="0" w:space="0" w:color="auto"/>
      </w:divBdr>
    </w:div>
    <w:div w:id="2055035072">
      <w:bodyDiv w:val="1"/>
      <w:marLeft w:val="0"/>
      <w:marRight w:val="0"/>
      <w:marTop w:val="0"/>
      <w:marBottom w:val="0"/>
      <w:divBdr>
        <w:top w:val="none" w:sz="0" w:space="0" w:color="auto"/>
        <w:left w:val="none" w:sz="0" w:space="0" w:color="auto"/>
        <w:bottom w:val="none" w:sz="0" w:space="0" w:color="auto"/>
        <w:right w:val="none" w:sz="0" w:space="0" w:color="auto"/>
      </w:divBdr>
    </w:div>
    <w:div w:id="208595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23266377FFA449A5B8FB5320645B47" ma:contentTypeVersion="16" ma:contentTypeDescription="Create a new document." ma:contentTypeScope="" ma:versionID="0a2bb4bbc890081dde64544733b04ec9">
  <xsd:schema xmlns:xsd="http://www.w3.org/2001/XMLSchema" xmlns:xs="http://www.w3.org/2001/XMLSchema" xmlns:p="http://schemas.microsoft.com/office/2006/metadata/properties" xmlns:ns2="f8fea64b-dcc1-49e8-a6ad-96013deaa6ee" xmlns:ns3="26923302-a551-440a-a068-4ae63fe999ff" targetNamespace="http://schemas.microsoft.com/office/2006/metadata/properties" ma:root="true" ma:fieldsID="8af8ffed9b27ef23f2f99f808f473e15" ns2:_="" ns3:_="">
    <xsd:import namespace="f8fea64b-dcc1-49e8-a6ad-96013deaa6ee"/>
    <xsd:import namespace="26923302-a551-440a-a068-4ae63fe99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ea64b-dcc1-49e8-a6ad-96013deaa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0bb3ce1-2d96-45e5-99c4-d2bba11dad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923302-a551-440a-a068-4ae63fe999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69a28d-f0ae-4245-b225-ef37ed363788}" ma:internalName="TaxCatchAll" ma:showField="CatchAllData" ma:web="26923302-a551-440a-a068-4ae63fe999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fea64b-dcc1-49e8-a6ad-96013deaa6ee">
      <Terms xmlns="http://schemas.microsoft.com/office/infopath/2007/PartnerControls"/>
    </lcf76f155ced4ddcb4097134ff3c332f>
    <TaxCatchAll xmlns="26923302-a551-440a-a068-4ae63fe999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AD3CE-1546-4284-9614-3C9963567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ea64b-dcc1-49e8-a6ad-96013deaa6ee"/>
    <ds:schemaRef ds:uri="26923302-a551-440a-a068-4ae63fe99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A4775-18F1-4A36-B3AC-EA3D5A6B35C3}">
  <ds:schemaRefs>
    <ds:schemaRef ds:uri="http://schemas.microsoft.com/office/2006/metadata/properties"/>
    <ds:schemaRef ds:uri="http://schemas.microsoft.com/office/infopath/2007/PartnerControls"/>
    <ds:schemaRef ds:uri="f8fea64b-dcc1-49e8-a6ad-96013deaa6ee"/>
    <ds:schemaRef ds:uri="26923302-a551-440a-a068-4ae63fe999ff"/>
  </ds:schemaRefs>
</ds:datastoreItem>
</file>

<file path=customXml/itemProps3.xml><?xml version="1.0" encoding="utf-8"?>
<ds:datastoreItem xmlns:ds="http://schemas.openxmlformats.org/officeDocument/2006/customXml" ds:itemID="{83C0AC79-43D0-4EDA-A089-1FDDCB468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2492</Words>
  <Characters>14208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Kuppich</dc:creator>
  <cp:keywords/>
  <dc:description/>
  <cp:lastModifiedBy>Liz Spittler</cp:lastModifiedBy>
  <cp:revision>3</cp:revision>
  <dcterms:created xsi:type="dcterms:W3CDTF">2023-04-10T17:08:00Z</dcterms:created>
  <dcterms:modified xsi:type="dcterms:W3CDTF">2023-04-10T17:08:00Z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0x010100E023266377FFA449A5B8FB5320645B47</vt:lpwstr>
  </property>
</Properties>
</file>