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84B8" w14:textId="153D5A6D" w:rsidR="006158DC" w:rsidRDefault="006158DC" w:rsidP="00CE56A3">
      <w:pPr>
        <w:spacing w:after="0" w:line="240" w:lineRule="auto"/>
        <w:rPr>
          <w:b/>
        </w:rPr>
      </w:pPr>
      <w:r w:rsidRPr="00F5603B">
        <w:rPr>
          <w:noProof/>
        </w:rPr>
        <w:drawing>
          <wp:anchor distT="0" distB="0" distL="114300" distR="114300" simplePos="0" relativeHeight="251658240" behindDoc="1" locked="0" layoutInCell="1" allowOverlap="1" wp14:anchorId="76B89337" wp14:editId="12A254F4">
            <wp:simplePos x="0" y="0"/>
            <wp:positionH relativeFrom="column">
              <wp:posOffset>4457700</wp:posOffset>
            </wp:positionH>
            <wp:positionV relativeFrom="paragraph">
              <wp:posOffset>-496570</wp:posOffset>
            </wp:positionV>
            <wp:extent cx="1691640" cy="678180"/>
            <wp:effectExtent l="0" t="0" r="381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ccred_CADE\ACEND CORE LETTERS AND FORMS\LOGOS and ACEND Branding\ACADEMY_ACE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640" cy="678180"/>
                    </a:xfrm>
                    <a:prstGeom prst="rect">
                      <a:avLst/>
                    </a:prstGeom>
                    <a:noFill/>
                    <a:ln>
                      <a:noFill/>
                    </a:ln>
                  </pic:spPr>
                </pic:pic>
              </a:graphicData>
            </a:graphic>
          </wp:anchor>
        </w:drawing>
      </w:r>
    </w:p>
    <w:p w14:paraId="6DC2B8E6" w14:textId="77777777" w:rsidR="00997220" w:rsidRDefault="00997220" w:rsidP="00CE56A3">
      <w:pPr>
        <w:spacing w:after="0" w:line="240" w:lineRule="auto"/>
        <w:rPr>
          <w:b/>
        </w:rPr>
      </w:pPr>
    </w:p>
    <w:p w14:paraId="623C3D53" w14:textId="66806DA7" w:rsidR="00997220" w:rsidRDefault="00997220" w:rsidP="00CE56A3">
      <w:pPr>
        <w:spacing w:after="0" w:line="240" w:lineRule="auto"/>
        <w:rPr>
          <w:b/>
        </w:rPr>
      </w:pPr>
    </w:p>
    <w:p w14:paraId="08A43AA4" w14:textId="41C548F5" w:rsidR="00BB4E9C" w:rsidRDefault="00BB4E9C" w:rsidP="00CE56A3">
      <w:pPr>
        <w:spacing w:after="0" w:line="240" w:lineRule="auto"/>
        <w:jc w:val="center"/>
        <w:rPr>
          <w:b/>
        </w:rPr>
      </w:pPr>
      <w:r>
        <w:rPr>
          <w:b/>
        </w:rPr>
        <w:t xml:space="preserve">CANDIDACY </w:t>
      </w:r>
      <w:r w:rsidR="00934BCD">
        <w:rPr>
          <w:b/>
        </w:rPr>
        <w:t>FOR ACCREDITATION</w:t>
      </w:r>
    </w:p>
    <w:p w14:paraId="7FB43F67" w14:textId="43270BC3" w:rsidR="00693B5F" w:rsidRPr="00CE56A3" w:rsidRDefault="00934BCD" w:rsidP="00CE56A3">
      <w:pPr>
        <w:spacing w:after="0" w:line="240" w:lineRule="auto"/>
        <w:jc w:val="center"/>
        <w:rPr>
          <w:b/>
        </w:rPr>
      </w:pPr>
      <w:r>
        <w:rPr>
          <w:b/>
        </w:rPr>
        <w:t xml:space="preserve">Self-Study Report Appendix: </w:t>
      </w:r>
      <w:r w:rsidR="0013787F">
        <w:rPr>
          <w:b/>
        </w:rPr>
        <w:t>TEACH-OUT PLAN</w:t>
      </w:r>
      <w:r>
        <w:rPr>
          <w:b/>
        </w:rPr>
        <w:t xml:space="preserve"> </w:t>
      </w:r>
      <w:r w:rsidR="0013787F">
        <w:rPr>
          <w:b/>
        </w:rPr>
        <w:t>TEMPLATE</w:t>
      </w:r>
    </w:p>
    <w:p w14:paraId="3A00C4DE" w14:textId="234C218D" w:rsidR="001F0DB4" w:rsidRDefault="00C80452" w:rsidP="00210DD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995B13">
        <w:rPr>
          <w:sz w:val="20"/>
          <w:szCs w:val="20"/>
        </w:rPr>
        <w:t>USDE requires candidacy programs to submit a Teach-Out plan</w:t>
      </w:r>
      <w:r w:rsidR="00A71DE3" w:rsidRPr="00995B13">
        <w:rPr>
          <w:sz w:val="20"/>
          <w:szCs w:val="20"/>
        </w:rPr>
        <w:t xml:space="preserve"> to ensure that prospective and enrolled students/interns will be able to complete program requirements if the program d</w:t>
      </w:r>
      <w:r w:rsidR="00BC6A1D" w:rsidRPr="00995B13">
        <w:rPr>
          <w:sz w:val="20"/>
          <w:szCs w:val="20"/>
        </w:rPr>
        <w:t>oes</w:t>
      </w:r>
      <w:r w:rsidR="00A71DE3" w:rsidRPr="00995B13">
        <w:rPr>
          <w:sz w:val="20"/>
          <w:szCs w:val="20"/>
        </w:rPr>
        <w:t xml:space="preserve"> not achieve full accreditation or voluntarily withdraws from accreditation</w:t>
      </w:r>
      <w:r w:rsidRPr="00995B13">
        <w:rPr>
          <w:sz w:val="20"/>
          <w:szCs w:val="20"/>
        </w:rPr>
        <w:t xml:space="preserve">. </w:t>
      </w:r>
      <w:r w:rsidR="007F5220" w:rsidRPr="00995B13">
        <w:rPr>
          <w:sz w:val="20"/>
          <w:szCs w:val="20"/>
        </w:rPr>
        <w:t xml:space="preserve">In accordance with </w:t>
      </w:r>
      <w:r w:rsidR="007F5220" w:rsidRPr="00995B13">
        <w:rPr>
          <w:i/>
          <w:sz w:val="20"/>
          <w:szCs w:val="20"/>
        </w:rPr>
        <w:t>ACEND</w:t>
      </w:r>
      <w:r w:rsidR="00F55902" w:rsidRPr="00995B13">
        <w:rPr>
          <w:i/>
          <w:sz w:val="20"/>
          <w:szCs w:val="20"/>
        </w:rPr>
        <w:t>®</w:t>
      </w:r>
      <w:r w:rsidR="007F5220" w:rsidRPr="00995B13">
        <w:rPr>
          <w:i/>
          <w:sz w:val="20"/>
          <w:szCs w:val="20"/>
        </w:rPr>
        <w:t xml:space="preserve"> Policy &amp; Procedure </w:t>
      </w:r>
      <w:r w:rsidR="00EF7B24" w:rsidRPr="00995B13">
        <w:rPr>
          <w:i/>
          <w:sz w:val="20"/>
          <w:szCs w:val="20"/>
        </w:rPr>
        <w:t>Manual</w:t>
      </w:r>
      <w:r w:rsidR="00BC6A1D" w:rsidRPr="00995B13">
        <w:rPr>
          <w:i/>
          <w:sz w:val="20"/>
          <w:szCs w:val="20"/>
        </w:rPr>
        <w:t>,</w:t>
      </w:r>
      <w:r w:rsidR="007F5220" w:rsidRPr="00995B13">
        <w:rPr>
          <w:sz w:val="20"/>
          <w:szCs w:val="20"/>
        </w:rPr>
        <w:t xml:space="preserve"> </w:t>
      </w:r>
      <w:r w:rsidR="00934BCD" w:rsidRPr="00995B13">
        <w:rPr>
          <w:sz w:val="20"/>
          <w:szCs w:val="20"/>
        </w:rPr>
        <w:t xml:space="preserve">Self-study Report for Candidacy for Accreditation </w:t>
      </w:r>
      <w:r w:rsidR="007C3FDE" w:rsidRPr="00995B13">
        <w:rPr>
          <w:sz w:val="20"/>
          <w:szCs w:val="20"/>
        </w:rPr>
        <w:t xml:space="preserve">(located on the ACEND website: </w:t>
      </w:r>
      <w:hyperlink r:id="rId8" w:history="1">
        <w:r w:rsidR="007C3FDE" w:rsidRPr="00995B13">
          <w:rPr>
            <w:rStyle w:val="Hyperlink"/>
            <w:sz w:val="20"/>
            <w:szCs w:val="20"/>
          </w:rPr>
          <w:t>Policy and Procedures</w:t>
        </w:r>
      </w:hyperlink>
      <w:r w:rsidR="007C3FDE" w:rsidRPr="00995B13">
        <w:rPr>
          <w:sz w:val="20"/>
          <w:szCs w:val="20"/>
        </w:rPr>
        <w:t>)</w:t>
      </w:r>
      <w:r w:rsidR="007F5220" w:rsidRPr="00995B13">
        <w:rPr>
          <w:sz w:val="20"/>
          <w:szCs w:val="20"/>
        </w:rPr>
        <w:t xml:space="preserve">, </w:t>
      </w:r>
      <w:r w:rsidR="00BB4E9C" w:rsidRPr="00995B13">
        <w:rPr>
          <w:sz w:val="20"/>
          <w:szCs w:val="20"/>
        </w:rPr>
        <w:t>candidacy</w:t>
      </w:r>
      <w:r w:rsidR="00F55902" w:rsidRPr="00995B13">
        <w:rPr>
          <w:sz w:val="20"/>
          <w:szCs w:val="20"/>
        </w:rPr>
        <w:t xml:space="preserve"> programs</w:t>
      </w:r>
      <w:r w:rsidR="007F5220" w:rsidRPr="00995B13">
        <w:rPr>
          <w:sz w:val="20"/>
          <w:szCs w:val="20"/>
        </w:rPr>
        <w:t xml:space="preserve"> </w:t>
      </w:r>
      <w:r w:rsidRPr="00995B13">
        <w:rPr>
          <w:sz w:val="20"/>
          <w:szCs w:val="20"/>
        </w:rPr>
        <w:t xml:space="preserve">must </w:t>
      </w:r>
      <w:r w:rsidR="007F5220" w:rsidRPr="00995B13">
        <w:rPr>
          <w:sz w:val="20"/>
          <w:szCs w:val="20"/>
        </w:rPr>
        <w:t>submit a Teach</w:t>
      </w:r>
      <w:r w:rsidR="00F55902" w:rsidRPr="00995B13">
        <w:rPr>
          <w:sz w:val="20"/>
          <w:szCs w:val="20"/>
        </w:rPr>
        <w:t>-Out Plan</w:t>
      </w:r>
      <w:r w:rsidR="008106A4" w:rsidRPr="00995B13">
        <w:rPr>
          <w:sz w:val="20"/>
          <w:szCs w:val="20"/>
        </w:rPr>
        <w:t xml:space="preserve"> with their self-study report</w:t>
      </w:r>
      <w:r w:rsidR="00A71DE3" w:rsidRPr="00995B13">
        <w:rPr>
          <w:sz w:val="20"/>
          <w:szCs w:val="20"/>
        </w:rPr>
        <w:t>.</w:t>
      </w:r>
      <w:r w:rsidR="00BC6A1D" w:rsidRPr="00995B13">
        <w:rPr>
          <w:sz w:val="20"/>
          <w:szCs w:val="20"/>
        </w:rPr>
        <w:t xml:space="preserve"> </w:t>
      </w:r>
      <w:r w:rsidR="00EF7B24" w:rsidRPr="00995B13">
        <w:rPr>
          <w:sz w:val="20"/>
          <w:szCs w:val="20"/>
        </w:rPr>
        <w:t xml:space="preserve">The Teach-Out Plan </w:t>
      </w:r>
      <w:r w:rsidR="006F1C16" w:rsidRPr="00995B13">
        <w:rPr>
          <w:sz w:val="20"/>
          <w:szCs w:val="20"/>
        </w:rPr>
        <w:t>Template</w:t>
      </w:r>
      <w:r w:rsidR="00693B5F" w:rsidRPr="00995B13">
        <w:rPr>
          <w:sz w:val="20"/>
          <w:szCs w:val="20"/>
        </w:rPr>
        <w:t xml:space="preserve"> </w:t>
      </w:r>
      <w:r w:rsidR="00343639" w:rsidRPr="00995B13">
        <w:rPr>
          <w:sz w:val="20"/>
          <w:szCs w:val="20"/>
        </w:rPr>
        <w:t xml:space="preserve">and supporting documentation </w:t>
      </w:r>
      <w:r w:rsidR="00693B5F" w:rsidRPr="00995B13">
        <w:rPr>
          <w:sz w:val="20"/>
          <w:szCs w:val="20"/>
        </w:rPr>
        <w:t xml:space="preserve">must be submitted </w:t>
      </w:r>
      <w:r w:rsidR="00BB4E9C" w:rsidRPr="00995B13">
        <w:rPr>
          <w:sz w:val="20"/>
          <w:szCs w:val="20"/>
        </w:rPr>
        <w:t>as an appendix to the program’s self-study report.</w:t>
      </w:r>
      <w:r w:rsidR="00693B5F" w:rsidRPr="00D36638">
        <w:rPr>
          <w:sz w:val="20"/>
          <w:szCs w:val="20"/>
        </w:rPr>
        <w:t xml:space="preserve"> </w:t>
      </w:r>
    </w:p>
    <w:p w14:paraId="1F59DF40" w14:textId="66064353" w:rsidR="00BB1304" w:rsidRDefault="00BB1304">
      <w:pPr>
        <w:rPr>
          <w:rFonts w:ascii="Calibri" w:eastAsia="Times New Roman" w:hAnsi="Calibri" w:cs="Arial"/>
          <w:sz w:val="20"/>
          <w:szCs w:val="24"/>
        </w:rPr>
      </w:pPr>
    </w:p>
    <w:tbl>
      <w:tblPr>
        <w:tblStyle w:val="TableGrid"/>
        <w:tblW w:w="10350" w:type="dxa"/>
        <w:tblInd w:w="-455" w:type="dxa"/>
        <w:tblLook w:val="04A0" w:firstRow="1" w:lastRow="0" w:firstColumn="1" w:lastColumn="0" w:noHBand="0" w:noVBand="1"/>
      </w:tblPr>
      <w:tblGrid>
        <w:gridCol w:w="10350"/>
      </w:tblGrid>
      <w:tr w:rsidR="00F81E67" w14:paraId="35FDA17D" w14:textId="77777777" w:rsidTr="00AF2BCF">
        <w:tc>
          <w:tcPr>
            <w:tcW w:w="10350" w:type="dxa"/>
          </w:tcPr>
          <w:p w14:paraId="4AFBB939" w14:textId="213B76B1" w:rsidR="00F81E67" w:rsidRPr="006F1C16" w:rsidRDefault="00F81E67" w:rsidP="008E4616">
            <w:pPr>
              <w:rPr>
                <w:b/>
                <w:sz w:val="20"/>
                <w:szCs w:val="20"/>
              </w:rPr>
            </w:pPr>
            <w:r w:rsidRPr="006F1C16">
              <w:rPr>
                <w:b/>
                <w:sz w:val="20"/>
                <w:szCs w:val="20"/>
              </w:rPr>
              <w:t>Directions:</w:t>
            </w:r>
            <w:r w:rsidR="008E4616">
              <w:rPr>
                <w:b/>
                <w:sz w:val="20"/>
                <w:szCs w:val="20"/>
              </w:rPr>
              <w:t xml:space="preserve"> </w:t>
            </w:r>
            <w:r w:rsidRPr="006F1C16">
              <w:rPr>
                <w:b/>
                <w:sz w:val="20"/>
                <w:szCs w:val="20"/>
              </w:rPr>
              <w:t xml:space="preserve">The program must provide narrative and documentation about the </w:t>
            </w:r>
            <w:r w:rsidR="00BC6A1D">
              <w:rPr>
                <w:b/>
                <w:sz w:val="20"/>
                <w:szCs w:val="20"/>
              </w:rPr>
              <w:t xml:space="preserve">potential </w:t>
            </w:r>
            <w:r w:rsidRPr="006F1C16">
              <w:rPr>
                <w:b/>
                <w:sz w:val="20"/>
                <w:szCs w:val="20"/>
              </w:rPr>
              <w:t>closure including:</w:t>
            </w:r>
          </w:p>
        </w:tc>
      </w:tr>
      <w:tr w:rsidR="00F81E67" w14:paraId="4AAC64F2" w14:textId="77777777" w:rsidTr="00800B6D">
        <w:trPr>
          <w:trHeight w:val="1358"/>
        </w:trPr>
        <w:tc>
          <w:tcPr>
            <w:tcW w:w="10350" w:type="dxa"/>
          </w:tcPr>
          <w:p w14:paraId="2CB380BE" w14:textId="2F50757A" w:rsidR="00E44F8D" w:rsidRDefault="00800B6D" w:rsidP="00E44F8D">
            <w:pPr>
              <w:pStyle w:val="ListParagraph"/>
              <w:numPr>
                <w:ilvl w:val="0"/>
                <w:numId w:val="2"/>
              </w:numPr>
              <w:rPr>
                <w:sz w:val="20"/>
                <w:szCs w:val="20"/>
              </w:rPr>
            </w:pPr>
            <w:r w:rsidRPr="00E44F8D">
              <w:rPr>
                <w:sz w:val="20"/>
                <w:szCs w:val="20"/>
              </w:rPr>
              <w:t>Explain the adequacy</w:t>
            </w:r>
            <w:r w:rsidR="00F81E67" w:rsidRPr="00E44F8D">
              <w:rPr>
                <w:sz w:val="20"/>
                <w:szCs w:val="20"/>
              </w:rPr>
              <w:t xml:space="preserve"> of resources (faculty/preceptors, advising, physical facilities, etc.) available to enrolled student</w:t>
            </w:r>
            <w:r w:rsidR="00707C01" w:rsidRPr="00E44F8D">
              <w:rPr>
                <w:sz w:val="20"/>
                <w:szCs w:val="20"/>
              </w:rPr>
              <w:t>s</w:t>
            </w:r>
            <w:r w:rsidR="00F81E67" w:rsidRPr="00E44F8D">
              <w:rPr>
                <w:sz w:val="20"/>
                <w:szCs w:val="20"/>
              </w:rPr>
              <w:t>/interns during the teach-out period</w:t>
            </w:r>
            <w:r w:rsidRPr="00E44F8D">
              <w:rPr>
                <w:sz w:val="20"/>
                <w:szCs w:val="20"/>
              </w:rPr>
              <w:t>. Discuss resources</w:t>
            </w:r>
            <w:r w:rsidR="00707C01" w:rsidRPr="00E44F8D">
              <w:rPr>
                <w:sz w:val="20"/>
                <w:szCs w:val="20"/>
              </w:rPr>
              <w:t xml:space="preserve"> that have been or will be impacted by the program closure</w:t>
            </w:r>
            <w:r w:rsidR="00763D46">
              <w:rPr>
                <w:sz w:val="20"/>
                <w:szCs w:val="20"/>
              </w:rPr>
              <w:t>, if any.</w:t>
            </w:r>
          </w:p>
          <w:p w14:paraId="4D38E1A7" w14:textId="7D5EB8B6" w:rsidR="00F81E67" w:rsidRPr="00E44F8D" w:rsidRDefault="000608D9" w:rsidP="00E44F8D">
            <w:pPr>
              <w:rPr>
                <w:sz w:val="20"/>
                <w:szCs w:val="20"/>
              </w:rPr>
            </w:pPr>
            <w:r w:rsidRPr="00E44F8D">
              <w:rPr>
                <w:sz w:val="20"/>
                <w:szCs w:val="20"/>
              </w:rPr>
              <w:t>Program Response:</w:t>
            </w:r>
          </w:p>
          <w:p w14:paraId="79659FB2" w14:textId="0187AE5D" w:rsidR="000608D9" w:rsidRPr="006F1C16" w:rsidRDefault="000608D9" w:rsidP="00693B5F">
            <w:pPr>
              <w:rPr>
                <w:sz w:val="20"/>
                <w:szCs w:val="20"/>
              </w:rPr>
            </w:pPr>
          </w:p>
        </w:tc>
      </w:tr>
      <w:tr w:rsidR="00F81E67" w14:paraId="49DF8663" w14:textId="77777777" w:rsidTr="00AF2BCF">
        <w:tc>
          <w:tcPr>
            <w:tcW w:w="10350" w:type="dxa"/>
          </w:tcPr>
          <w:p w14:paraId="6BA636E2" w14:textId="3297F858" w:rsidR="000608D9" w:rsidRPr="006F1C16" w:rsidRDefault="00F81E67" w:rsidP="00C80452">
            <w:pPr>
              <w:pStyle w:val="ListParagraph"/>
              <w:numPr>
                <w:ilvl w:val="0"/>
                <w:numId w:val="2"/>
              </w:numPr>
              <w:rPr>
                <w:sz w:val="20"/>
                <w:szCs w:val="20"/>
              </w:rPr>
            </w:pPr>
            <w:r w:rsidRPr="006F1C16">
              <w:rPr>
                <w:sz w:val="20"/>
                <w:szCs w:val="20"/>
              </w:rPr>
              <w:t>Describe how the program will ensure that students/interns will be provided all the instruction promised by the program</w:t>
            </w:r>
            <w:r w:rsidR="000608D9" w:rsidRPr="006F1C16">
              <w:rPr>
                <w:sz w:val="20"/>
                <w:szCs w:val="20"/>
              </w:rPr>
              <w:t>.</w:t>
            </w:r>
          </w:p>
          <w:p w14:paraId="551E9AD6" w14:textId="629459E9" w:rsidR="000608D9" w:rsidRPr="006F1C16" w:rsidRDefault="000608D9" w:rsidP="000608D9">
            <w:pPr>
              <w:rPr>
                <w:sz w:val="20"/>
                <w:szCs w:val="20"/>
              </w:rPr>
            </w:pPr>
            <w:r w:rsidRPr="006F1C16">
              <w:rPr>
                <w:sz w:val="20"/>
                <w:szCs w:val="20"/>
              </w:rPr>
              <w:t>Program Response:</w:t>
            </w:r>
          </w:p>
          <w:p w14:paraId="52A9744D" w14:textId="41BB9A63" w:rsidR="000608D9" w:rsidRPr="006F1C16" w:rsidRDefault="000608D9" w:rsidP="000608D9">
            <w:pPr>
              <w:pStyle w:val="ListParagraph"/>
              <w:rPr>
                <w:sz w:val="20"/>
                <w:szCs w:val="20"/>
              </w:rPr>
            </w:pPr>
          </w:p>
        </w:tc>
      </w:tr>
      <w:tr w:rsidR="00F81E67" w14:paraId="4386E380" w14:textId="77777777" w:rsidTr="00AF2BCF">
        <w:tc>
          <w:tcPr>
            <w:tcW w:w="10350" w:type="dxa"/>
          </w:tcPr>
          <w:p w14:paraId="7025A769" w14:textId="24774ABC" w:rsidR="00F81E67" w:rsidRPr="006F1C16" w:rsidRDefault="000608D9" w:rsidP="00C80452">
            <w:pPr>
              <w:pStyle w:val="ListParagraph"/>
              <w:numPr>
                <w:ilvl w:val="0"/>
                <w:numId w:val="2"/>
              </w:numPr>
              <w:rPr>
                <w:sz w:val="20"/>
                <w:szCs w:val="20"/>
              </w:rPr>
            </w:pPr>
            <w:r w:rsidRPr="006F1C16">
              <w:rPr>
                <w:sz w:val="20"/>
                <w:szCs w:val="20"/>
              </w:rPr>
              <w:t>State whether enrolled students</w:t>
            </w:r>
            <w:r w:rsidR="008106A4">
              <w:rPr>
                <w:sz w:val="20"/>
                <w:szCs w:val="20"/>
              </w:rPr>
              <w:t>/interns</w:t>
            </w:r>
            <w:r w:rsidRPr="006F1C16">
              <w:rPr>
                <w:sz w:val="20"/>
                <w:szCs w:val="20"/>
              </w:rPr>
              <w:t xml:space="preserve"> will incur additional charges due to the teach-out plan and if so, how students</w:t>
            </w:r>
            <w:r w:rsidR="008106A4">
              <w:rPr>
                <w:sz w:val="20"/>
                <w:szCs w:val="20"/>
              </w:rPr>
              <w:t>/interns</w:t>
            </w:r>
            <w:r w:rsidRPr="006F1C16">
              <w:rPr>
                <w:sz w:val="20"/>
                <w:szCs w:val="20"/>
              </w:rPr>
              <w:t xml:space="preserve"> will be </w:t>
            </w:r>
            <w:r w:rsidR="00003DA0" w:rsidRPr="00D36638">
              <w:rPr>
                <w:sz w:val="20"/>
                <w:szCs w:val="20"/>
              </w:rPr>
              <w:t xml:space="preserve">notified as soon as practicable </w:t>
            </w:r>
            <w:r w:rsidRPr="00D36638">
              <w:rPr>
                <w:sz w:val="20"/>
                <w:szCs w:val="20"/>
              </w:rPr>
              <w:t xml:space="preserve">of these </w:t>
            </w:r>
            <w:r w:rsidRPr="006F1C16">
              <w:rPr>
                <w:sz w:val="20"/>
                <w:szCs w:val="20"/>
              </w:rPr>
              <w:t>charges.</w:t>
            </w:r>
          </w:p>
          <w:p w14:paraId="2DD70FAD" w14:textId="77777777" w:rsidR="000608D9" w:rsidRPr="006F1C16" w:rsidRDefault="000608D9" w:rsidP="00693B5F">
            <w:pPr>
              <w:rPr>
                <w:sz w:val="20"/>
                <w:szCs w:val="20"/>
              </w:rPr>
            </w:pPr>
            <w:r w:rsidRPr="006F1C16">
              <w:rPr>
                <w:sz w:val="20"/>
                <w:szCs w:val="20"/>
              </w:rPr>
              <w:t>Program Response:</w:t>
            </w:r>
          </w:p>
          <w:p w14:paraId="5B6B6ECF" w14:textId="543C7165" w:rsidR="000608D9" w:rsidRPr="006F1C16" w:rsidRDefault="000608D9" w:rsidP="00693B5F">
            <w:pPr>
              <w:rPr>
                <w:sz w:val="20"/>
                <w:szCs w:val="20"/>
              </w:rPr>
            </w:pPr>
          </w:p>
        </w:tc>
      </w:tr>
      <w:tr w:rsidR="00C80452" w14:paraId="00C742BA" w14:textId="77777777" w:rsidTr="00AF2BCF">
        <w:tc>
          <w:tcPr>
            <w:tcW w:w="10350" w:type="dxa"/>
          </w:tcPr>
          <w:p w14:paraId="51B2DBB5" w14:textId="3FE03DCA" w:rsidR="00C80452" w:rsidRDefault="00645971" w:rsidP="00C80452">
            <w:pPr>
              <w:pStyle w:val="ListParagraph"/>
              <w:numPr>
                <w:ilvl w:val="0"/>
                <w:numId w:val="7"/>
              </w:numPr>
              <w:rPr>
                <w:sz w:val="20"/>
                <w:szCs w:val="20"/>
              </w:rPr>
            </w:pPr>
            <w:r>
              <w:rPr>
                <w:sz w:val="20"/>
                <w:szCs w:val="20"/>
              </w:rPr>
              <w:t xml:space="preserve">ACEND requires verification statements to be stored indefinitely. Describe the program’s record retention plan that delineates where records of program graduates, including lists of graduates and corresponding verification statements for each, will be </w:t>
            </w:r>
            <w:r w:rsidR="007442C4">
              <w:rPr>
                <w:sz w:val="20"/>
                <w:szCs w:val="20"/>
              </w:rPr>
              <w:t xml:space="preserve">permanently </w:t>
            </w:r>
            <w:r>
              <w:rPr>
                <w:sz w:val="20"/>
                <w:szCs w:val="20"/>
              </w:rPr>
              <w:t>stored</w:t>
            </w:r>
            <w:r w:rsidR="00C80452">
              <w:rPr>
                <w:sz w:val="20"/>
                <w:szCs w:val="20"/>
              </w:rPr>
              <w:t>.</w:t>
            </w:r>
          </w:p>
          <w:p w14:paraId="55A38B4A" w14:textId="72E8BEF5" w:rsidR="00C80452" w:rsidRDefault="00C80452" w:rsidP="00C80452">
            <w:pPr>
              <w:pStyle w:val="ListParagraph"/>
              <w:ind w:left="0"/>
              <w:rPr>
                <w:sz w:val="20"/>
                <w:szCs w:val="20"/>
              </w:rPr>
            </w:pPr>
            <w:r>
              <w:rPr>
                <w:sz w:val="20"/>
                <w:szCs w:val="20"/>
              </w:rPr>
              <w:t xml:space="preserve">Program </w:t>
            </w:r>
            <w:r w:rsidR="00DA6087">
              <w:rPr>
                <w:sz w:val="20"/>
                <w:szCs w:val="20"/>
              </w:rPr>
              <w:t>R</w:t>
            </w:r>
            <w:r>
              <w:rPr>
                <w:sz w:val="20"/>
                <w:szCs w:val="20"/>
              </w:rPr>
              <w:t xml:space="preserve">esponse: </w:t>
            </w:r>
          </w:p>
          <w:p w14:paraId="5019971E" w14:textId="77777777" w:rsidR="00C80452" w:rsidRPr="00BC6A1D" w:rsidRDefault="00C80452" w:rsidP="00BC6A1D">
            <w:pPr>
              <w:rPr>
                <w:sz w:val="20"/>
                <w:szCs w:val="20"/>
              </w:rPr>
            </w:pPr>
          </w:p>
        </w:tc>
      </w:tr>
      <w:tr w:rsidR="00F81E67" w14:paraId="2D8608A0" w14:textId="77777777" w:rsidTr="00AF2BCF">
        <w:tc>
          <w:tcPr>
            <w:tcW w:w="10350" w:type="dxa"/>
          </w:tcPr>
          <w:p w14:paraId="6F945D3B" w14:textId="03407F35" w:rsidR="00F81E67" w:rsidRPr="00D36638" w:rsidRDefault="000608D9" w:rsidP="00C80452">
            <w:pPr>
              <w:pStyle w:val="ListParagraph"/>
              <w:numPr>
                <w:ilvl w:val="0"/>
                <w:numId w:val="7"/>
              </w:numPr>
              <w:rPr>
                <w:sz w:val="20"/>
                <w:szCs w:val="20"/>
              </w:rPr>
            </w:pPr>
            <w:r w:rsidRPr="006F1C16">
              <w:rPr>
                <w:sz w:val="20"/>
                <w:szCs w:val="20"/>
              </w:rPr>
              <w:t xml:space="preserve">Describe how </w:t>
            </w:r>
            <w:r w:rsidR="00DA6087">
              <w:rPr>
                <w:sz w:val="20"/>
                <w:szCs w:val="20"/>
              </w:rPr>
              <w:t xml:space="preserve">and when </w:t>
            </w:r>
            <w:r w:rsidRPr="006F1C16">
              <w:rPr>
                <w:sz w:val="20"/>
                <w:szCs w:val="20"/>
              </w:rPr>
              <w:t>prospective and enrolled students/interns will be</w:t>
            </w:r>
            <w:r w:rsidR="004F145A">
              <w:rPr>
                <w:sz w:val="20"/>
                <w:szCs w:val="20"/>
              </w:rPr>
              <w:t xml:space="preserve"> </w:t>
            </w:r>
            <w:r w:rsidRPr="00D36638">
              <w:rPr>
                <w:sz w:val="20"/>
                <w:szCs w:val="20"/>
              </w:rPr>
              <w:t>informed of the program’s closing</w:t>
            </w:r>
            <w:r w:rsidR="0042016A" w:rsidRPr="00D36638">
              <w:rPr>
                <w:sz w:val="20"/>
                <w:szCs w:val="20"/>
              </w:rPr>
              <w:t xml:space="preserve"> and implications</w:t>
            </w:r>
            <w:r w:rsidR="001B6390">
              <w:rPr>
                <w:sz w:val="20"/>
                <w:szCs w:val="20"/>
              </w:rPr>
              <w:t xml:space="preserve"> (including, but not limited to, those pertaining to p</w:t>
            </w:r>
            <w:r w:rsidR="002A347E">
              <w:rPr>
                <w:sz w:val="20"/>
                <w:szCs w:val="20"/>
              </w:rPr>
              <w:t>rospective</w:t>
            </w:r>
            <w:r w:rsidR="001B6390">
              <w:rPr>
                <w:sz w:val="20"/>
                <w:szCs w:val="20"/>
              </w:rPr>
              <w:t xml:space="preserve"> employment, eligibility to sit for the exam or qualify for internships)</w:t>
            </w:r>
            <w:r w:rsidR="0042016A" w:rsidRPr="00D36638">
              <w:rPr>
                <w:sz w:val="20"/>
                <w:szCs w:val="20"/>
              </w:rPr>
              <w:t xml:space="preserve"> of the closure</w:t>
            </w:r>
            <w:r w:rsidRPr="00D36638">
              <w:rPr>
                <w:sz w:val="20"/>
                <w:szCs w:val="20"/>
              </w:rPr>
              <w:t>. Attach a copy of all communications that will be provided to prospective and enrolled students about the program’s closing</w:t>
            </w:r>
            <w:r w:rsidR="00BC6A1D">
              <w:rPr>
                <w:sz w:val="20"/>
                <w:szCs w:val="20"/>
              </w:rPr>
              <w:t>,</w:t>
            </w:r>
            <w:r w:rsidRPr="00D36638">
              <w:rPr>
                <w:sz w:val="20"/>
                <w:szCs w:val="20"/>
              </w:rPr>
              <w:t xml:space="preserve"> such as draft website information, letters,</w:t>
            </w:r>
            <w:r w:rsidR="00CC1B53" w:rsidRPr="00D36638">
              <w:rPr>
                <w:sz w:val="20"/>
                <w:szCs w:val="20"/>
              </w:rPr>
              <w:t xml:space="preserve"> acknowledgment forms to be signed by students</w:t>
            </w:r>
            <w:r w:rsidR="001B6390">
              <w:rPr>
                <w:sz w:val="20"/>
                <w:szCs w:val="20"/>
              </w:rPr>
              <w:t>/interns</w:t>
            </w:r>
            <w:r w:rsidR="00CC1B53" w:rsidRPr="00D36638">
              <w:rPr>
                <w:sz w:val="20"/>
                <w:szCs w:val="20"/>
              </w:rPr>
              <w:t>,</w:t>
            </w:r>
            <w:r w:rsidRPr="00D36638">
              <w:rPr>
                <w:sz w:val="20"/>
                <w:szCs w:val="20"/>
              </w:rPr>
              <w:t xml:space="preserve"> etc.  </w:t>
            </w:r>
            <w:r w:rsidR="00645971">
              <w:rPr>
                <w:sz w:val="20"/>
                <w:szCs w:val="20"/>
              </w:rPr>
              <w:t xml:space="preserve">Communications to enrolled students/interns should provide information about </w:t>
            </w:r>
            <w:r w:rsidR="007442C4">
              <w:rPr>
                <w:sz w:val="20"/>
                <w:szCs w:val="20"/>
              </w:rPr>
              <w:t xml:space="preserve">how former students may </w:t>
            </w:r>
            <w:r w:rsidR="00645971">
              <w:rPr>
                <w:sz w:val="20"/>
                <w:szCs w:val="20"/>
              </w:rPr>
              <w:t xml:space="preserve">obtain a copy of their verification statement after program closure. </w:t>
            </w:r>
          </w:p>
          <w:p w14:paraId="59CA3187" w14:textId="77777777" w:rsidR="000608D9" w:rsidRPr="006F1C16" w:rsidRDefault="000608D9" w:rsidP="004604E0">
            <w:pPr>
              <w:rPr>
                <w:sz w:val="20"/>
                <w:szCs w:val="20"/>
              </w:rPr>
            </w:pPr>
            <w:r w:rsidRPr="006F1C16">
              <w:rPr>
                <w:sz w:val="20"/>
                <w:szCs w:val="20"/>
              </w:rPr>
              <w:t>Program Response:</w:t>
            </w:r>
          </w:p>
          <w:p w14:paraId="28D27959" w14:textId="0267668C" w:rsidR="00A35CE0" w:rsidRPr="006F1C16" w:rsidRDefault="00A35CE0" w:rsidP="004604E0">
            <w:pPr>
              <w:rPr>
                <w:sz w:val="20"/>
                <w:szCs w:val="20"/>
              </w:rPr>
            </w:pPr>
          </w:p>
        </w:tc>
      </w:tr>
      <w:tr w:rsidR="00322BBE" w14:paraId="188377F2" w14:textId="77777777" w:rsidTr="00AF2BCF">
        <w:tc>
          <w:tcPr>
            <w:tcW w:w="10350" w:type="dxa"/>
          </w:tcPr>
          <w:p w14:paraId="43442674" w14:textId="13A5DCEF" w:rsidR="00322BBE" w:rsidRPr="00D36638" w:rsidRDefault="00322BBE" w:rsidP="00C80452">
            <w:pPr>
              <w:pStyle w:val="ListParagraph"/>
              <w:numPr>
                <w:ilvl w:val="0"/>
                <w:numId w:val="7"/>
              </w:numPr>
              <w:rPr>
                <w:sz w:val="20"/>
                <w:szCs w:val="20"/>
              </w:rPr>
            </w:pPr>
            <w:r w:rsidRPr="00D36638">
              <w:rPr>
                <w:sz w:val="20"/>
                <w:szCs w:val="20"/>
              </w:rPr>
              <w:t xml:space="preserve">Describe how </w:t>
            </w:r>
            <w:r w:rsidR="00DA6087">
              <w:rPr>
                <w:sz w:val="20"/>
                <w:szCs w:val="20"/>
              </w:rPr>
              <w:t xml:space="preserve">and when </w:t>
            </w:r>
            <w:r w:rsidRPr="00D36638">
              <w:rPr>
                <w:sz w:val="20"/>
                <w:szCs w:val="20"/>
              </w:rPr>
              <w:t xml:space="preserve">the programs </w:t>
            </w:r>
            <w:r w:rsidR="00DA6087">
              <w:rPr>
                <w:sz w:val="20"/>
                <w:szCs w:val="20"/>
              </w:rPr>
              <w:t>interested parties</w:t>
            </w:r>
            <w:r w:rsidR="008D1545" w:rsidRPr="00D36638">
              <w:rPr>
                <w:sz w:val="20"/>
                <w:szCs w:val="20"/>
              </w:rPr>
              <w:t xml:space="preserve"> </w:t>
            </w:r>
            <w:r w:rsidR="000A62E2" w:rsidRPr="00D36638">
              <w:rPr>
                <w:sz w:val="20"/>
                <w:szCs w:val="20"/>
              </w:rPr>
              <w:t xml:space="preserve">including </w:t>
            </w:r>
            <w:r w:rsidRPr="00D36638">
              <w:rPr>
                <w:sz w:val="20"/>
                <w:szCs w:val="20"/>
              </w:rPr>
              <w:t xml:space="preserve">faculty, preceptors, </w:t>
            </w:r>
            <w:r w:rsidR="007F1C94" w:rsidRPr="00D36638">
              <w:rPr>
                <w:sz w:val="20"/>
                <w:szCs w:val="20"/>
              </w:rPr>
              <w:t xml:space="preserve">academic advisors (including advisors of transfer students) affiliated community colleges (including those with articulation agreements) and </w:t>
            </w:r>
            <w:r w:rsidRPr="00D36638">
              <w:rPr>
                <w:sz w:val="20"/>
                <w:szCs w:val="20"/>
              </w:rPr>
              <w:t xml:space="preserve">advisory board, </w:t>
            </w:r>
            <w:r w:rsidR="007F1C94" w:rsidRPr="00D36638">
              <w:rPr>
                <w:sz w:val="20"/>
                <w:szCs w:val="20"/>
              </w:rPr>
              <w:t>as applicable</w:t>
            </w:r>
            <w:r w:rsidR="00AF2BCF" w:rsidRPr="00D36638">
              <w:rPr>
                <w:sz w:val="20"/>
                <w:szCs w:val="20"/>
              </w:rPr>
              <w:t>,</w:t>
            </w:r>
            <w:r w:rsidRPr="00D36638">
              <w:rPr>
                <w:sz w:val="20"/>
                <w:szCs w:val="20"/>
              </w:rPr>
              <w:t xml:space="preserve"> will be informed </w:t>
            </w:r>
            <w:r w:rsidR="00003DA0" w:rsidRPr="00D36638">
              <w:rPr>
                <w:sz w:val="20"/>
                <w:szCs w:val="20"/>
              </w:rPr>
              <w:t xml:space="preserve">as soon as practicable </w:t>
            </w:r>
            <w:r w:rsidRPr="00D36638">
              <w:rPr>
                <w:sz w:val="20"/>
                <w:szCs w:val="20"/>
              </w:rPr>
              <w:t>of the program’s closure</w:t>
            </w:r>
            <w:r w:rsidR="0042016A" w:rsidRPr="00D36638">
              <w:rPr>
                <w:sz w:val="20"/>
                <w:szCs w:val="20"/>
              </w:rPr>
              <w:t xml:space="preserve"> and implications of the closure</w:t>
            </w:r>
            <w:r w:rsidRPr="00D36638">
              <w:rPr>
                <w:sz w:val="20"/>
                <w:szCs w:val="20"/>
              </w:rPr>
              <w:t>.  Attach a copy of all communications that will be provided to stakeholders about the program’s closing such as letters or email, etc.</w:t>
            </w:r>
          </w:p>
          <w:p w14:paraId="33601EE9" w14:textId="77777777" w:rsidR="00322BBE" w:rsidRDefault="00322BBE" w:rsidP="00652778">
            <w:pPr>
              <w:pStyle w:val="ListParagraph"/>
              <w:ind w:left="-23"/>
              <w:rPr>
                <w:sz w:val="20"/>
                <w:szCs w:val="20"/>
              </w:rPr>
            </w:pPr>
            <w:r>
              <w:rPr>
                <w:sz w:val="20"/>
                <w:szCs w:val="20"/>
              </w:rPr>
              <w:t>Program Response:</w:t>
            </w:r>
            <w:r w:rsidRPr="00652778">
              <w:rPr>
                <w:sz w:val="20"/>
                <w:szCs w:val="20"/>
              </w:rPr>
              <w:t xml:space="preserve"> </w:t>
            </w:r>
          </w:p>
          <w:p w14:paraId="2ED7667C" w14:textId="6B887EFA" w:rsidR="008D1545" w:rsidRPr="00652778" w:rsidRDefault="008D1545" w:rsidP="00652778">
            <w:pPr>
              <w:pStyle w:val="ListParagraph"/>
              <w:ind w:left="-23"/>
              <w:rPr>
                <w:sz w:val="20"/>
                <w:szCs w:val="20"/>
              </w:rPr>
            </w:pPr>
          </w:p>
        </w:tc>
      </w:tr>
      <w:tr w:rsidR="00313650" w14:paraId="0FEABADE" w14:textId="77777777" w:rsidTr="00AF2BCF">
        <w:tc>
          <w:tcPr>
            <w:tcW w:w="10350" w:type="dxa"/>
          </w:tcPr>
          <w:p w14:paraId="7E0A89EE" w14:textId="60EF7609" w:rsidR="00313650" w:rsidRDefault="001B6390" w:rsidP="00C80452">
            <w:pPr>
              <w:pStyle w:val="ListParagraph"/>
              <w:numPr>
                <w:ilvl w:val="0"/>
                <w:numId w:val="7"/>
              </w:numPr>
              <w:rPr>
                <w:sz w:val="20"/>
                <w:szCs w:val="20"/>
              </w:rPr>
            </w:pPr>
            <w:r>
              <w:rPr>
                <w:sz w:val="20"/>
                <w:szCs w:val="20"/>
              </w:rPr>
              <w:t xml:space="preserve">A list of other institutions with </w:t>
            </w:r>
            <w:r w:rsidR="00313650">
              <w:rPr>
                <w:sz w:val="20"/>
                <w:szCs w:val="20"/>
              </w:rPr>
              <w:t xml:space="preserve">similar programs that could potentially enter into a teach-out agreement, </w:t>
            </w:r>
            <w:r w:rsidR="00DA6087">
              <w:rPr>
                <w:sz w:val="20"/>
                <w:szCs w:val="20"/>
              </w:rPr>
              <w:t>if the program cannot complete a teach out of all enrolled students/interns</w:t>
            </w:r>
            <w:r w:rsidR="00313650">
              <w:rPr>
                <w:sz w:val="20"/>
                <w:szCs w:val="20"/>
              </w:rPr>
              <w:t>.</w:t>
            </w:r>
            <w:r w:rsidR="001F0DB4">
              <w:rPr>
                <w:sz w:val="20"/>
                <w:szCs w:val="20"/>
              </w:rPr>
              <w:t xml:space="preserve"> </w:t>
            </w:r>
            <w:r w:rsidR="008E4616" w:rsidRPr="00B727A3">
              <w:rPr>
                <w:sz w:val="20"/>
                <w:szCs w:val="20"/>
              </w:rPr>
              <w:t>(General comments without specific ACEND</w:t>
            </w:r>
            <w:r w:rsidR="008E4616">
              <w:rPr>
                <w:sz w:val="20"/>
                <w:szCs w:val="20"/>
              </w:rPr>
              <w:t>-</w:t>
            </w:r>
            <w:r w:rsidR="008E4616" w:rsidRPr="00B727A3">
              <w:rPr>
                <w:sz w:val="20"/>
                <w:szCs w:val="20"/>
              </w:rPr>
              <w:t>accredited program names will not be accepted in this section)</w:t>
            </w:r>
            <w:r w:rsidR="008E4616">
              <w:rPr>
                <w:sz w:val="20"/>
                <w:szCs w:val="20"/>
              </w:rPr>
              <w:t>.</w:t>
            </w:r>
          </w:p>
          <w:p w14:paraId="6758C7A9" w14:textId="77777777" w:rsidR="00313650" w:rsidRPr="006F1C16" w:rsidRDefault="00313650" w:rsidP="00313650">
            <w:pPr>
              <w:rPr>
                <w:sz w:val="20"/>
                <w:szCs w:val="20"/>
              </w:rPr>
            </w:pPr>
            <w:r w:rsidRPr="006F1C16">
              <w:rPr>
                <w:sz w:val="20"/>
                <w:szCs w:val="20"/>
              </w:rPr>
              <w:t>Program Response:</w:t>
            </w:r>
          </w:p>
          <w:p w14:paraId="14BC1E7F" w14:textId="78194F77" w:rsidR="00313650" w:rsidRPr="006F1C16" w:rsidRDefault="00313650" w:rsidP="00313650">
            <w:pPr>
              <w:pStyle w:val="ListParagraph"/>
              <w:ind w:left="360"/>
              <w:rPr>
                <w:sz w:val="20"/>
                <w:szCs w:val="20"/>
              </w:rPr>
            </w:pPr>
          </w:p>
        </w:tc>
      </w:tr>
    </w:tbl>
    <w:p w14:paraId="5FAADAA5" w14:textId="77777777" w:rsidR="00693B5F" w:rsidRDefault="00693B5F" w:rsidP="00693B5F">
      <w:pPr>
        <w:rPr>
          <w:b/>
        </w:rPr>
      </w:pPr>
    </w:p>
    <w:sectPr w:rsidR="00693B5F" w:rsidSect="000D3060">
      <w:headerReference w:type="default" r:id="rId9"/>
      <w:footerReference w:type="default" r:id="rId10"/>
      <w:footerReference w:type="first" r:id="rId11"/>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C74E" w14:textId="77777777" w:rsidR="002F380B" w:rsidRDefault="002F380B" w:rsidP="00E821FB">
      <w:pPr>
        <w:spacing w:after="0" w:line="240" w:lineRule="auto"/>
      </w:pPr>
      <w:r>
        <w:separator/>
      </w:r>
    </w:p>
  </w:endnote>
  <w:endnote w:type="continuationSeparator" w:id="0">
    <w:p w14:paraId="6A6BD303" w14:textId="77777777" w:rsidR="002F380B" w:rsidRDefault="002F380B" w:rsidP="00E8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D50A" w14:textId="552EB2AE" w:rsidR="000D3060" w:rsidRPr="000D3060" w:rsidRDefault="000D3060" w:rsidP="000D3060">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F83F" w14:textId="27D014CB" w:rsidR="000D3060" w:rsidRPr="000D3060" w:rsidRDefault="00DA6087" w:rsidP="000D3060">
    <w:pPr>
      <w:pStyle w:val="Footer"/>
      <w:jc w:val="right"/>
      <w:rPr>
        <w:sz w:val="16"/>
        <w:szCs w:val="16"/>
      </w:rPr>
    </w:pPr>
    <w:r>
      <w:rPr>
        <w:sz w:val="16"/>
        <w:szCs w:val="16"/>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544B" w14:textId="77777777" w:rsidR="002F380B" w:rsidRDefault="002F380B" w:rsidP="00E821FB">
      <w:pPr>
        <w:spacing w:after="0" w:line="240" w:lineRule="auto"/>
      </w:pPr>
      <w:r>
        <w:separator/>
      </w:r>
    </w:p>
  </w:footnote>
  <w:footnote w:type="continuationSeparator" w:id="0">
    <w:p w14:paraId="4F3FDFBB" w14:textId="77777777" w:rsidR="002F380B" w:rsidRDefault="002F380B" w:rsidP="00E82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42F7" w14:textId="77777777" w:rsidR="004604E0" w:rsidRDefault="004604E0" w:rsidP="00E821FB">
    <w:pPr>
      <w:pStyle w:val="Header"/>
      <w:jc w:val="right"/>
    </w:pPr>
  </w:p>
  <w:p w14:paraId="681CCCED" w14:textId="77777777" w:rsidR="004604E0" w:rsidRDefault="004604E0" w:rsidP="00E821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BDC"/>
    <w:multiLevelType w:val="hybridMultilevel"/>
    <w:tmpl w:val="059207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69753C"/>
    <w:multiLevelType w:val="hybridMultilevel"/>
    <w:tmpl w:val="9AC88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65E58"/>
    <w:multiLevelType w:val="hybridMultilevel"/>
    <w:tmpl w:val="5032DE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830B07"/>
    <w:multiLevelType w:val="hybridMultilevel"/>
    <w:tmpl w:val="BEE28D2E"/>
    <w:lvl w:ilvl="0" w:tplc="D4E875C2">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E43CED"/>
    <w:multiLevelType w:val="hybridMultilevel"/>
    <w:tmpl w:val="13AC02F6"/>
    <w:lvl w:ilvl="0" w:tplc="CE18FBE2">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01632"/>
    <w:multiLevelType w:val="hybridMultilevel"/>
    <w:tmpl w:val="C88C2006"/>
    <w:lvl w:ilvl="0" w:tplc="5A7C9B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223261"/>
    <w:multiLevelType w:val="hybridMultilevel"/>
    <w:tmpl w:val="13AC02F6"/>
    <w:lvl w:ilvl="0" w:tplc="CE18FBE2">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154918">
    <w:abstractNumId w:val="1"/>
  </w:num>
  <w:num w:numId="2" w16cid:durableId="383985016">
    <w:abstractNumId w:val="3"/>
  </w:num>
  <w:num w:numId="3" w16cid:durableId="361785688">
    <w:abstractNumId w:val="5"/>
  </w:num>
  <w:num w:numId="4" w16cid:durableId="1087581193">
    <w:abstractNumId w:val="2"/>
  </w:num>
  <w:num w:numId="5" w16cid:durableId="268709071">
    <w:abstractNumId w:val="4"/>
  </w:num>
  <w:num w:numId="6" w16cid:durableId="368798462">
    <w:abstractNumId w:val="0"/>
  </w:num>
  <w:num w:numId="7" w16cid:durableId="556666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B5F"/>
    <w:rsid w:val="00003DA0"/>
    <w:rsid w:val="000608D9"/>
    <w:rsid w:val="00071106"/>
    <w:rsid w:val="000713A5"/>
    <w:rsid w:val="000A3AAF"/>
    <w:rsid w:val="000A62E2"/>
    <w:rsid w:val="000C6D29"/>
    <w:rsid w:val="000D3060"/>
    <w:rsid w:val="0013787F"/>
    <w:rsid w:val="001A6BEB"/>
    <w:rsid w:val="001B3F1E"/>
    <w:rsid w:val="001B6390"/>
    <w:rsid w:val="001B77E9"/>
    <w:rsid w:val="001F0DB4"/>
    <w:rsid w:val="00210DDE"/>
    <w:rsid w:val="00222AD3"/>
    <w:rsid w:val="0022426B"/>
    <w:rsid w:val="00243B8E"/>
    <w:rsid w:val="00244E35"/>
    <w:rsid w:val="002A347E"/>
    <w:rsid w:val="002D0C17"/>
    <w:rsid w:val="002E2DC3"/>
    <w:rsid w:val="002F380B"/>
    <w:rsid w:val="00313650"/>
    <w:rsid w:val="0031506F"/>
    <w:rsid w:val="00322BBE"/>
    <w:rsid w:val="0033607D"/>
    <w:rsid w:val="00343639"/>
    <w:rsid w:val="00384395"/>
    <w:rsid w:val="003D0271"/>
    <w:rsid w:val="003D43E5"/>
    <w:rsid w:val="003E6DC6"/>
    <w:rsid w:val="00406673"/>
    <w:rsid w:val="0042016A"/>
    <w:rsid w:val="00454BC7"/>
    <w:rsid w:val="004604E0"/>
    <w:rsid w:val="00475694"/>
    <w:rsid w:val="00490790"/>
    <w:rsid w:val="004E3528"/>
    <w:rsid w:val="004F145A"/>
    <w:rsid w:val="005304E6"/>
    <w:rsid w:val="0054641B"/>
    <w:rsid w:val="0056164B"/>
    <w:rsid w:val="00573AF8"/>
    <w:rsid w:val="00582143"/>
    <w:rsid w:val="00590F61"/>
    <w:rsid w:val="005B2FD1"/>
    <w:rsid w:val="006158DC"/>
    <w:rsid w:val="00626DE9"/>
    <w:rsid w:val="00645971"/>
    <w:rsid w:val="00652778"/>
    <w:rsid w:val="0065586E"/>
    <w:rsid w:val="00693B5F"/>
    <w:rsid w:val="006F1C16"/>
    <w:rsid w:val="00701ECF"/>
    <w:rsid w:val="00707C01"/>
    <w:rsid w:val="00717A52"/>
    <w:rsid w:val="007442C4"/>
    <w:rsid w:val="00746919"/>
    <w:rsid w:val="00760BCC"/>
    <w:rsid w:val="00761C9C"/>
    <w:rsid w:val="00763D46"/>
    <w:rsid w:val="007B3F83"/>
    <w:rsid w:val="007C3FDE"/>
    <w:rsid w:val="007D7D6C"/>
    <w:rsid w:val="007F1C94"/>
    <w:rsid w:val="007F5220"/>
    <w:rsid w:val="00800B6D"/>
    <w:rsid w:val="008106A4"/>
    <w:rsid w:val="00822335"/>
    <w:rsid w:val="008306AE"/>
    <w:rsid w:val="008451B5"/>
    <w:rsid w:val="008652B4"/>
    <w:rsid w:val="00866F6A"/>
    <w:rsid w:val="00872B6F"/>
    <w:rsid w:val="008B0070"/>
    <w:rsid w:val="008B184C"/>
    <w:rsid w:val="008D13D6"/>
    <w:rsid w:val="008D1545"/>
    <w:rsid w:val="008D2CDA"/>
    <w:rsid w:val="008E4616"/>
    <w:rsid w:val="008F62E4"/>
    <w:rsid w:val="00916209"/>
    <w:rsid w:val="00922B36"/>
    <w:rsid w:val="00934BCD"/>
    <w:rsid w:val="009418BC"/>
    <w:rsid w:val="00995B13"/>
    <w:rsid w:val="00997220"/>
    <w:rsid w:val="009C625F"/>
    <w:rsid w:val="009F6BF3"/>
    <w:rsid w:val="00A35CE0"/>
    <w:rsid w:val="00A71DE3"/>
    <w:rsid w:val="00AC0B5A"/>
    <w:rsid w:val="00AE1DC7"/>
    <w:rsid w:val="00AF2BCF"/>
    <w:rsid w:val="00AF2D38"/>
    <w:rsid w:val="00B06B5A"/>
    <w:rsid w:val="00B26415"/>
    <w:rsid w:val="00B721E6"/>
    <w:rsid w:val="00BB1304"/>
    <w:rsid w:val="00BB4E9C"/>
    <w:rsid w:val="00BC3448"/>
    <w:rsid w:val="00BC6A1D"/>
    <w:rsid w:val="00BC7783"/>
    <w:rsid w:val="00BE4B4A"/>
    <w:rsid w:val="00C127DB"/>
    <w:rsid w:val="00C17845"/>
    <w:rsid w:val="00C508C1"/>
    <w:rsid w:val="00C67D02"/>
    <w:rsid w:val="00C70BB5"/>
    <w:rsid w:val="00C80452"/>
    <w:rsid w:val="00CC1B53"/>
    <w:rsid w:val="00CC3B88"/>
    <w:rsid w:val="00CC73FB"/>
    <w:rsid w:val="00CD2021"/>
    <w:rsid w:val="00CD6375"/>
    <w:rsid w:val="00CE56A3"/>
    <w:rsid w:val="00CE75A4"/>
    <w:rsid w:val="00CF008F"/>
    <w:rsid w:val="00D00F98"/>
    <w:rsid w:val="00D36638"/>
    <w:rsid w:val="00D50E28"/>
    <w:rsid w:val="00D615E8"/>
    <w:rsid w:val="00D71141"/>
    <w:rsid w:val="00DA6087"/>
    <w:rsid w:val="00E06BD2"/>
    <w:rsid w:val="00E12304"/>
    <w:rsid w:val="00E14031"/>
    <w:rsid w:val="00E44F8D"/>
    <w:rsid w:val="00E520A1"/>
    <w:rsid w:val="00E8069A"/>
    <w:rsid w:val="00E821FB"/>
    <w:rsid w:val="00E8526F"/>
    <w:rsid w:val="00E867F3"/>
    <w:rsid w:val="00EB5A2F"/>
    <w:rsid w:val="00EF7B24"/>
    <w:rsid w:val="00F55902"/>
    <w:rsid w:val="00F761FF"/>
    <w:rsid w:val="00F81E67"/>
    <w:rsid w:val="00FB63FA"/>
    <w:rsid w:val="00FC7DFC"/>
    <w:rsid w:val="00FE2FA8"/>
    <w:rsid w:val="00FF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78963"/>
  <w15:chartTrackingRefBased/>
  <w15:docId w15:val="{9CF2863C-C67F-4252-B703-6BEEC847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B5F"/>
    <w:rPr>
      <w:color w:val="0563C1" w:themeColor="hyperlink"/>
      <w:u w:val="single"/>
    </w:rPr>
  </w:style>
  <w:style w:type="character" w:styleId="CommentReference">
    <w:name w:val="annotation reference"/>
    <w:basedOn w:val="DefaultParagraphFont"/>
    <w:uiPriority w:val="99"/>
    <w:semiHidden/>
    <w:unhideWhenUsed/>
    <w:rsid w:val="00C70BB5"/>
    <w:rPr>
      <w:sz w:val="16"/>
      <w:szCs w:val="16"/>
    </w:rPr>
  </w:style>
  <w:style w:type="paragraph" w:styleId="CommentText">
    <w:name w:val="annotation text"/>
    <w:basedOn w:val="Normal"/>
    <w:link w:val="CommentTextChar"/>
    <w:uiPriority w:val="99"/>
    <w:semiHidden/>
    <w:unhideWhenUsed/>
    <w:rsid w:val="00C70BB5"/>
    <w:pPr>
      <w:spacing w:line="240" w:lineRule="auto"/>
    </w:pPr>
    <w:rPr>
      <w:sz w:val="20"/>
      <w:szCs w:val="20"/>
    </w:rPr>
  </w:style>
  <w:style w:type="character" w:customStyle="1" w:styleId="CommentTextChar">
    <w:name w:val="Comment Text Char"/>
    <w:basedOn w:val="DefaultParagraphFont"/>
    <w:link w:val="CommentText"/>
    <w:uiPriority w:val="99"/>
    <w:semiHidden/>
    <w:rsid w:val="00C70BB5"/>
    <w:rPr>
      <w:sz w:val="20"/>
      <w:szCs w:val="20"/>
    </w:rPr>
  </w:style>
  <w:style w:type="paragraph" w:styleId="BalloonText">
    <w:name w:val="Balloon Text"/>
    <w:basedOn w:val="Normal"/>
    <w:link w:val="BalloonTextChar"/>
    <w:uiPriority w:val="99"/>
    <w:semiHidden/>
    <w:unhideWhenUsed/>
    <w:rsid w:val="00C70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BB5"/>
    <w:rPr>
      <w:rFonts w:ascii="Segoe UI" w:hAnsi="Segoe UI" w:cs="Segoe UI"/>
      <w:sz w:val="18"/>
      <w:szCs w:val="18"/>
    </w:rPr>
  </w:style>
  <w:style w:type="table" w:styleId="TableGrid">
    <w:name w:val="Table Grid"/>
    <w:basedOn w:val="TableNormal"/>
    <w:uiPriority w:val="39"/>
    <w:rsid w:val="007B3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071106"/>
    <w:pPr>
      <w:tabs>
        <w:tab w:val="left" w:pos="360"/>
        <w:tab w:val="left" w:pos="720"/>
        <w:tab w:val="left" w:pos="1080"/>
        <w:tab w:val="left" w:pos="1440"/>
      </w:tabs>
      <w:spacing w:before="120" w:after="0" w:line="240" w:lineRule="auto"/>
    </w:pPr>
    <w:rPr>
      <w:rFonts w:ascii="Arial" w:eastAsia="Times New Roman" w:hAnsi="Arial" w:cs="Arial"/>
      <w:sz w:val="20"/>
      <w:szCs w:val="24"/>
    </w:rPr>
  </w:style>
  <w:style w:type="paragraph" w:styleId="Header">
    <w:name w:val="header"/>
    <w:basedOn w:val="Normal"/>
    <w:link w:val="HeaderChar"/>
    <w:uiPriority w:val="99"/>
    <w:unhideWhenUsed/>
    <w:rsid w:val="00E82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FB"/>
  </w:style>
  <w:style w:type="paragraph" w:styleId="Footer">
    <w:name w:val="footer"/>
    <w:basedOn w:val="Normal"/>
    <w:link w:val="FooterChar"/>
    <w:uiPriority w:val="99"/>
    <w:unhideWhenUsed/>
    <w:rsid w:val="00E82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FB"/>
  </w:style>
  <w:style w:type="paragraph" w:styleId="ListParagraph">
    <w:name w:val="List Paragraph"/>
    <w:basedOn w:val="Normal"/>
    <w:uiPriority w:val="34"/>
    <w:qFormat/>
    <w:rsid w:val="00EF7B24"/>
    <w:pPr>
      <w:ind w:left="720"/>
      <w:contextualSpacing/>
    </w:pPr>
  </w:style>
  <w:style w:type="paragraph" w:styleId="BodyText">
    <w:name w:val="Body Text"/>
    <w:basedOn w:val="Normal"/>
    <w:link w:val="BodyTextChar"/>
    <w:uiPriority w:val="99"/>
    <w:semiHidden/>
    <w:unhideWhenUsed/>
    <w:rsid w:val="005B2FD1"/>
    <w:pPr>
      <w:spacing w:after="120"/>
    </w:pPr>
  </w:style>
  <w:style w:type="character" w:customStyle="1" w:styleId="BodyTextChar">
    <w:name w:val="Body Text Char"/>
    <w:basedOn w:val="DefaultParagraphFont"/>
    <w:link w:val="BodyText"/>
    <w:uiPriority w:val="99"/>
    <w:semiHidden/>
    <w:rsid w:val="005B2FD1"/>
  </w:style>
  <w:style w:type="paragraph" w:styleId="CommentSubject">
    <w:name w:val="annotation subject"/>
    <w:basedOn w:val="CommentText"/>
    <w:next w:val="CommentText"/>
    <w:link w:val="CommentSubjectChar"/>
    <w:uiPriority w:val="99"/>
    <w:semiHidden/>
    <w:unhideWhenUsed/>
    <w:rsid w:val="00626DE9"/>
    <w:rPr>
      <w:b/>
      <w:bCs/>
    </w:rPr>
  </w:style>
  <w:style w:type="character" w:customStyle="1" w:styleId="CommentSubjectChar">
    <w:name w:val="Comment Subject Char"/>
    <w:basedOn w:val="CommentTextChar"/>
    <w:link w:val="CommentSubject"/>
    <w:uiPriority w:val="99"/>
    <w:semiHidden/>
    <w:rsid w:val="00626DE9"/>
    <w:rPr>
      <w:b/>
      <w:bCs/>
      <w:sz w:val="20"/>
      <w:szCs w:val="20"/>
    </w:rPr>
  </w:style>
  <w:style w:type="paragraph" w:styleId="Revision">
    <w:name w:val="Revision"/>
    <w:hidden/>
    <w:uiPriority w:val="99"/>
    <w:semiHidden/>
    <w:rsid w:val="00F81E67"/>
    <w:pPr>
      <w:spacing w:after="0" w:line="240" w:lineRule="auto"/>
    </w:pPr>
  </w:style>
  <w:style w:type="character" w:styleId="FollowedHyperlink">
    <w:name w:val="FollowedHyperlink"/>
    <w:basedOn w:val="DefaultParagraphFont"/>
    <w:uiPriority w:val="99"/>
    <w:semiHidden/>
    <w:unhideWhenUsed/>
    <w:rsid w:val="00CF00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acend-policies-and-procedur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Mary Ann Taccona</dc:creator>
  <cp:keywords>
  </cp:keywords>
  <dc:description>
  </dc:description>
  <cp:lastModifiedBy>Brian Sarna</cp:lastModifiedBy>
  <cp:revision>6</cp:revision>
  <dcterms:created xsi:type="dcterms:W3CDTF">2021-06-11T16:31:00Z</dcterms:created>
  <dcterms:modified xsi:type="dcterms:W3CDTF">2026-05-05T16:00:00Z</dcterms:modified>
</cp:coreProperties>
</file>